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01B9" w14:textId="77777777" w:rsidR="004D36F0" w:rsidRPr="004D36F0" w:rsidRDefault="004D36F0" w:rsidP="004D36F0">
      <w:pPr>
        <w:jc w:val="center"/>
        <w:rPr>
          <w:b/>
          <w:sz w:val="24"/>
        </w:rPr>
      </w:pPr>
      <w:r w:rsidRPr="004D36F0">
        <w:rPr>
          <w:b/>
          <w:sz w:val="24"/>
        </w:rPr>
        <w:t>City of Syracuse</w:t>
      </w:r>
    </w:p>
    <w:p w14:paraId="177E15D0" w14:textId="77777777" w:rsidR="004D36F0" w:rsidRPr="004D36F0" w:rsidRDefault="004D36F0" w:rsidP="004D36F0">
      <w:pPr>
        <w:jc w:val="center"/>
        <w:rPr>
          <w:b/>
          <w:sz w:val="24"/>
        </w:rPr>
      </w:pPr>
      <w:r w:rsidRPr="004D36F0">
        <w:rPr>
          <w:b/>
          <w:sz w:val="24"/>
        </w:rPr>
        <w:t>Citizen Review Board</w:t>
      </w:r>
    </w:p>
    <w:p w14:paraId="5B178CED" w14:textId="77777777" w:rsidR="004D36F0" w:rsidRPr="004D36F0" w:rsidRDefault="004D36F0" w:rsidP="004D36F0">
      <w:pPr>
        <w:jc w:val="center"/>
        <w:rPr>
          <w:b/>
          <w:sz w:val="24"/>
        </w:rPr>
      </w:pPr>
      <w:r w:rsidRPr="004D36F0">
        <w:rPr>
          <w:b/>
          <w:sz w:val="24"/>
        </w:rPr>
        <w:t>Meeting Minutes</w:t>
      </w:r>
    </w:p>
    <w:p w14:paraId="31863B10" w14:textId="1C16B388" w:rsidR="00AF36BD" w:rsidRDefault="00476FE3" w:rsidP="004D36F0">
      <w:pPr>
        <w:jc w:val="center"/>
        <w:rPr>
          <w:b/>
          <w:sz w:val="24"/>
        </w:rPr>
      </w:pPr>
      <w:r w:rsidRPr="00774CF0">
        <w:rPr>
          <w:b/>
          <w:sz w:val="24"/>
        </w:rPr>
        <w:t xml:space="preserve">Thursday, </w:t>
      </w:r>
      <w:r w:rsidR="00A27203">
        <w:rPr>
          <w:b/>
          <w:sz w:val="24"/>
        </w:rPr>
        <w:t xml:space="preserve">May </w:t>
      </w:r>
      <w:r w:rsidR="00D44F24">
        <w:rPr>
          <w:b/>
          <w:sz w:val="24"/>
        </w:rPr>
        <w:t>2, 2024</w:t>
      </w:r>
    </w:p>
    <w:p w14:paraId="05949BEC" w14:textId="77777777" w:rsidR="00861F3D" w:rsidRPr="009F1740" w:rsidRDefault="00861F3D" w:rsidP="00861F3D">
      <w:pPr>
        <w:jc w:val="center"/>
        <w:rPr>
          <w:b/>
          <w:sz w:val="24"/>
        </w:rPr>
      </w:pPr>
      <w:r>
        <w:rPr>
          <w:b/>
          <w:sz w:val="24"/>
        </w:rPr>
        <w:t>5</w:t>
      </w:r>
      <w:r w:rsidRPr="009F1740">
        <w:rPr>
          <w:b/>
          <w:sz w:val="24"/>
        </w:rPr>
        <w:t>:</w:t>
      </w:r>
      <w:r>
        <w:rPr>
          <w:b/>
          <w:sz w:val="24"/>
        </w:rPr>
        <w:t>3</w:t>
      </w:r>
      <w:r w:rsidRPr="009F1740">
        <w:rPr>
          <w:b/>
          <w:sz w:val="24"/>
        </w:rPr>
        <w:t>0</w:t>
      </w:r>
      <w:r>
        <w:rPr>
          <w:b/>
          <w:sz w:val="24"/>
        </w:rPr>
        <w:t xml:space="preserve"> </w:t>
      </w:r>
      <w:r w:rsidRPr="009F1740">
        <w:rPr>
          <w:b/>
          <w:sz w:val="24"/>
        </w:rPr>
        <w:t>PM</w:t>
      </w:r>
      <w:r>
        <w:rPr>
          <w:b/>
          <w:sz w:val="24"/>
        </w:rPr>
        <w:t xml:space="preserve"> </w:t>
      </w:r>
      <w:r w:rsidR="00FF3DCA">
        <w:rPr>
          <w:b/>
          <w:sz w:val="24"/>
        </w:rPr>
        <w:t>to</w:t>
      </w:r>
      <w:r w:rsidRPr="009F1740">
        <w:rPr>
          <w:b/>
          <w:sz w:val="24"/>
        </w:rPr>
        <w:t xml:space="preserve"> </w:t>
      </w:r>
      <w:r>
        <w:rPr>
          <w:b/>
          <w:sz w:val="24"/>
        </w:rPr>
        <w:t>7</w:t>
      </w:r>
      <w:r w:rsidRPr="009F1740">
        <w:rPr>
          <w:b/>
          <w:sz w:val="24"/>
        </w:rPr>
        <w:t>:</w:t>
      </w:r>
      <w:r>
        <w:rPr>
          <w:b/>
          <w:sz w:val="24"/>
        </w:rPr>
        <w:t>3</w:t>
      </w:r>
      <w:r w:rsidRPr="009F1740">
        <w:rPr>
          <w:b/>
          <w:sz w:val="24"/>
        </w:rPr>
        <w:t>0</w:t>
      </w:r>
      <w:r>
        <w:rPr>
          <w:b/>
          <w:sz w:val="24"/>
        </w:rPr>
        <w:t xml:space="preserve"> </w:t>
      </w:r>
      <w:r w:rsidRPr="009F1740">
        <w:rPr>
          <w:b/>
          <w:sz w:val="24"/>
        </w:rPr>
        <w:t>PM</w:t>
      </w:r>
    </w:p>
    <w:p w14:paraId="312E6EAC" w14:textId="77777777" w:rsidR="00861F3D" w:rsidRPr="009F1740" w:rsidRDefault="00861F3D" w:rsidP="00861F3D">
      <w:pPr>
        <w:jc w:val="center"/>
        <w:rPr>
          <w:b/>
          <w:sz w:val="24"/>
        </w:rPr>
      </w:pPr>
      <w:r w:rsidRPr="009F1740">
        <w:rPr>
          <w:b/>
          <w:sz w:val="24"/>
        </w:rPr>
        <w:t>Common Council Chambers</w:t>
      </w:r>
    </w:p>
    <w:p w14:paraId="5D589054" w14:textId="77777777" w:rsidR="00861F3D" w:rsidRDefault="00861F3D" w:rsidP="00861F3D">
      <w:pPr>
        <w:jc w:val="center"/>
        <w:rPr>
          <w:b/>
          <w:sz w:val="24"/>
        </w:rPr>
      </w:pPr>
      <w:r w:rsidRPr="009F1740">
        <w:rPr>
          <w:b/>
          <w:sz w:val="24"/>
        </w:rPr>
        <w:t>Public Comment</w:t>
      </w:r>
      <w:r>
        <w:rPr>
          <w:b/>
          <w:sz w:val="24"/>
        </w:rPr>
        <w:t xml:space="preserve"> </w:t>
      </w:r>
      <w:r w:rsidRPr="009F1740">
        <w:rPr>
          <w:b/>
          <w:sz w:val="24"/>
        </w:rPr>
        <w:t xml:space="preserve">- 20 minutes at </w:t>
      </w:r>
      <w:r>
        <w:rPr>
          <w:b/>
          <w:sz w:val="24"/>
        </w:rPr>
        <w:t>6:30 PM</w:t>
      </w:r>
    </w:p>
    <w:p w14:paraId="29A5CA2C" w14:textId="77777777" w:rsidR="00317EBF" w:rsidRPr="004D36F0" w:rsidRDefault="00317EBF" w:rsidP="00317EBF">
      <w:pPr>
        <w:rPr>
          <w:sz w:val="24"/>
        </w:rPr>
      </w:pPr>
    </w:p>
    <w:tbl>
      <w:tblPr>
        <w:tblStyle w:val="TableGrid"/>
        <w:tblW w:w="0" w:type="auto"/>
        <w:tblInd w:w="480" w:type="dxa"/>
        <w:tblLook w:val="04A0" w:firstRow="1" w:lastRow="0" w:firstColumn="1" w:lastColumn="0" w:noHBand="0" w:noVBand="1"/>
      </w:tblPr>
      <w:tblGrid>
        <w:gridCol w:w="2178"/>
        <w:gridCol w:w="360"/>
        <w:gridCol w:w="360"/>
        <w:gridCol w:w="2160"/>
        <w:gridCol w:w="360"/>
        <w:gridCol w:w="360"/>
        <w:gridCol w:w="1978"/>
        <w:gridCol w:w="328"/>
        <w:gridCol w:w="342"/>
      </w:tblGrid>
      <w:tr w:rsidR="00EA1DEE" w:rsidRPr="004D36F0" w14:paraId="2024F456" w14:textId="77777777" w:rsidTr="00903A21">
        <w:tc>
          <w:tcPr>
            <w:tcW w:w="2178" w:type="dxa"/>
          </w:tcPr>
          <w:p w14:paraId="5849C3CA" w14:textId="77777777" w:rsidR="00EA1DEE" w:rsidRPr="00354B7D" w:rsidRDefault="00EA1DEE" w:rsidP="004D36F0">
            <w:pPr>
              <w:rPr>
                <w:b/>
                <w:bCs/>
                <w:u w:val="single"/>
              </w:rPr>
            </w:pPr>
            <w:r w:rsidRPr="00354B7D">
              <w:rPr>
                <w:b/>
                <w:bCs/>
                <w:u w:val="single"/>
              </w:rPr>
              <w:t>Name</w:t>
            </w:r>
          </w:p>
        </w:tc>
        <w:tc>
          <w:tcPr>
            <w:tcW w:w="360" w:type="dxa"/>
          </w:tcPr>
          <w:p w14:paraId="20E8F301" w14:textId="77777777" w:rsidR="00EA1DEE" w:rsidRPr="004D36F0" w:rsidRDefault="00EA1DEE" w:rsidP="00670171">
            <w:pPr>
              <w:jc w:val="center"/>
              <w:rPr>
                <w:b/>
                <w:bCs/>
              </w:rPr>
            </w:pPr>
            <w:r w:rsidRPr="004D36F0">
              <w:rPr>
                <w:b/>
                <w:bCs/>
              </w:rPr>
              <w:t>P</w:t>
            </w:r>
          </w:p>
        </w:tc>
        <w:tc>
          <w:tcPr>
            <w:tcW w:w="360" w:type="dxa"/>
          </w:tcPr>
          <w:p w14:paraId="23BF1FF1" w14:textId="77777777" w:rsidR="00EA1DEE" w:rsidRPr="004D36F0" w:rsidRDefault="00EA1DEE" w:rsidP="00670171">
            <w:pPr>
              <w:jc w:val="center"/>
              <w:rPr>
                <w:b/>
                <w:bCs/>
              </w:rPr>
            </w:pPr>
            <w:r w:rsidRPr="004D36F0">
              <w:rPr>
                <w:b/>
                <w:bCs/>
              </w:rPr>
              <w:t>A</w:t>
            </w:r>
          </w:p>
        </w:tc>
        <w:tc>
          <w:tcPr>
            <w:tcW w:w="2160" w:type="dxa"/>
          </w:tcPr>
          <w:p w14:paraId="76392B54" w14:textId="77777777" w:rsidR="00EA1DEE" w:rsidRPr="00354B7D" w:rsidRDefault="00EA1DEE" w:rsidP="004D36F0">
            <w:pPr>
              <w:rPr>
                <w:b/>
                <w:bCs/>
                <w:u w:val="single"/>
              </w:rPr>
            </w:pPr>
            <w:r w:rsidRPr="00354B7D">
              <w:rPr>
                <w:b/>
                <w:bCs/>
                <w:u w:val="single"/>
              </w:rPr>
              <w:t>Name</w:t>
            </w:r>
          </w:p>
        </w:tc>
        <w:tc>
          <w:tcPr>
            <w:tcW w:w="360" w:type="dxa"/>
          </w:tcPr>
          <w:p w14:paraId="0A401A00" w14:textId="77777777" w:rsidR="00EA1DEE" w:rsidRPr="004D36F0" w:rsidRDefault="00EA1DEE" w:rsidP="00670171">
            <w:pPr>
              <w:jc w:val="center"/>
              <w:rPr>
                <w:b/>
                <w:bCs/>
              </w:rPr>
            </w:pPr>
            <w:r w:rsidRPr="004D36F0">
              <w:rPr>
                <w:b/>
                <w:bCs/>
              </w:rPr>
              <w:t>P</w:t>
            </w:r>
          </w:p>
        </w:tc>
        <w:tc>
          <w:tcPr>
            <w:tcW w:w="360" w:type="dxa"/>
          </w:tcPr>
          <w:p w14:paraId="58321571" w14:textId="77777777" w:rsidR="00EA1DEE" w:rsidRPr="004D36F0" w:rsidRDefault="00EA1DEE" w:rsidP="00670171">
            <w:pPr>
              <w:jc w:val="center"/>
              <w:rPr>
                <w:b/>
                <w:bCs/>
              </w:rPr>
            </w:pPr>
            <w:r w:rsidRPr="004D36F0">
              <w:rPr>
                <w:b/>
                <w:bCs/>
              </w:rPr>
              <w:t>A</w:t>
            </w:r>
          </w:p>
        </w:tc>
        <w:tc>
          <w:tcPr>
            <w:tcW w:w="1978" w:type="dxa"/>
          </w:tcPr>
          <w:p w14:paraId="146D66AC" w14:textId="77777777" w:rsidR="00EA1DEE" w:rsidRPr="00354B7D" w:rsidRDefault="00EA1DEE" w:rsidP="004D36F0">
            <w:pPr>
              <w:rPr>
                <w:b/>
                <w:bCs/>
                <w:u w:val="single"/>
              </w:rPr>
            </w:pPr>
            <w:r w:rsidRPr="00354B7D">
              <w:rPr>
                <w:b/>
                <w:bCs/>
                <w:u w:val="single"/>
              </w:rPr>
              <w:t>Name</w:t>
            </w:r>
          </w:p>
        </w:tc>
        <w:tc>
          <w:tcPr>
            <w:tcW w:w="328" w:type="dxa"/>
          </w:tcPr>
          <w:p w14:paraId="44088710" w14:textId="77777777" w:rsidR="00EA1DEE" w:rsidRPr="004D36F0" w:rsidRDefault="00EA1DEE" w:rsidP="00670171">
            <w:pPr>
              <w:jc w:val="center"/>
              <w:rPr>
                <w:b/>
                <w:bCs/>
              </w:rPr>
            </w:pPr>
            <w:r w:rsidRPr="004D36F0">
              <w:rPr>
                <w:b/>
                <w:bCs/>
              </w:rPr>
              <w:t>P</w:t>
            </w:r>
          </w:p>
        </w:tc>
        <w:tc>
          <w:tcPr>
            <w:tcW w:w="342" w:type="dxa"/>
          </w:tcPr>
          <w:p w14:paraId="16323B98" w14:textId="77777777" w:rsidR="00EA1DEE" w:rsidRPr="004D36F0" w:rsidRDefault="00EA1DEE" w:rsidP="00670171">
            <w:pPr>
              <w:jc w:val="center"/>
              <w:rPr>
                <w:b/>
                <w:bCs/>
              </w:rPr>
            </w:pPr>
            <w:r w:rsidRPr="004D36F0">
              <w:rPr>
                <w:b/>
                <w:bCs/>
              </w:rPr>
              <w:t>A</w:t>
            </w:r>
          </w:p>
        </w:tc>
      </w:tr>
      <w:tr w:rsidR="00EA1DEE" w:rsidRPr="004D36F0" w14:paraId="5712C9EB" w14:textId="77777777" w:rsidTr="00903A21">
        <w:tc>
          <w:tcPr>
            <w:tcW w:w="2178" w:type="dxa"/>
            <w:hideMark/>
          </w:tcPr>
          <w:p w14:paraId="44BE50F9" w14:textId="53B0E125" w:rsidR="00EA1DEE" w:rsidRPr="006741ED" w:rsidRDefault="00B549E5" w:rsidP="00BE438F">
            <w:r>
              <w:t>Pratt, Harry</w:t>
            </w:r>
          </w:p>
        </w:tc>
        <w:tc>
          <w:tcPr>
            <w:tcW w:w="360" w:type="dxa"/>
          </w:tcPr>
          <w:p w14:paraId="5435301B" w14:textId="49E45333" w:rsidR="00EA1DEE" w:rsidRPr="006741ED" w:rsidRDefault="00903A21" w:rsidP="00BE438F">
            <w:pPr>
              <w:jc w:val="center"/>
            </w:pPr>
            <w:r>
              <w:t>X</w:t>
            </w:r>
          </w:p>
        </w:tc>
        <w:tc>
          <w:tcPr>
            <w:tcW w:w="360" w:type="dxa"/>
          </w:tcPr>
          <w:p w14:paraId="178358DF" w14:textId="77777777" w:rsidR="00EA1DEE" w:rsidRPr="006741ED" w:rsidRDefault="00EA1DEE" w:rsidP="00BE438F">
            <w:pPr>
              <w:jc w:val="center"/>
            </w:pPr>
          </w:p>
        </w:tc>
        <w:tc>
          <w:tcPr>
            <w:tcW w:w="2160" w:type="dxa"/>
          </w:tcPr>
          <w:p w14:paraId="24F52D6B" w14:textId="489F3E94" w:rsidR="00EA1DEE" w:rsidRPr="006741ED" w:rsidRDefault="00F232B6" w:rsidP="00BE438F">
            <w:r>
              <w:t>Holmes, Hatisha</w:t>
            </w:r>
          </w:p>
        </w:tc>
        <w:tc>
          <w:tcPr>
            <w:tcW w:w="360" w:type="dxa"/>
          </w:tcPr>
          <w:p w14:paraId="6CDC2382" w14:textId="46A1EB57" w:rsidR="00EA1DEE" w:rsidRPr="006741ED" w:rsidRDefault="00903A21" w:rsidP="00BE438F">
            <w:pPr>
              <w:jc w:val="center"/>
            </w:pPr>
            <w:r>
              <w:t>X</w:t>
            </w:r>
          </w:p>
        </w:tc>
        <w:tc>
          <w:tcPr>
            <w:tcW w:w="360" w:type="dxa"/>
          </w:tcPr>
          <w:p w14:paraId="544B108F" w14:textId="77777777" w:rsidR="00EA1DEE" w:rsidRPr="006741ED" w:rsidRDefault="00EA1DEE" w:rsidP="00BE438F">
            <w:pPr>
              <w:jc w:val="center"/>
            </w:pPr>
          </w:p>
        </w:tc>
        <w:tc>
          <w:tcPr>
            <w:tcW w:w="1978" w:type="dxa"/>
          </w:tcPr>
          <w:p w14:paraId="5EC73229" w14:textId="230B8628" w:rsidR="00EA1DEE" w:rsidRPr="006741ED" w:rsidRDefault="000244F2" w:rsidP="00BE438F">
            <w:r>
              <w:t>Nilsson, Lori</w:t>
            </w:r>
          </w:p>
        </w:tc>
        <w:tc>
          <w:tcPr>
            <w:tcW w:w="328" w:type="dxa"/>
          </w:tcPr>
          <w:p w14:paraId="1ADC4489" w14:textId="58AA13CA" w:rsidR="00EA1DEE" w:rsidRPr="006741ED" w:rsidRDefault="00903A21" w:rsidP="00BE438F">
            <w:pPr>
              <w:jc w:val="center"/>
            </w:pPr>
            <w:r>
              <w:t>X</w:t>
            </w:r>
          </w:p>
        </w:tc>
        <w:tc>
          <w:tcPr>
            <w:tcW w:w="342" w:type="dxa"/>
          </w:tcPr>
          <w:p w14:paraId="0F3DF5FE" w14:textId="77777777" w:rsidR="00EA1DEE" w:rsidRPr="004D36F0" w:rsidRDefault="00EA1DEE" w:rsidP="00670171">
            <w:pPr>
              <w:jc w:val="center"/>
              <w:rPr>
                <w:bCs/>
              </w:rPr>
            </w:pPr>
          </w:p>
        </w:tc>
      </w:tr>
      <w:tr w:rsidR="006D7AF5" w:rsidRPr="004D36F0" w14:paraId="06EF3B04" w14:textId="77777777" w:rsidTr="00903A21">
        <w:tc>
          <w:tcPr>
            <w:tcW w:w="2178" w:type="dxa"/>
          </w:tcPr>
          <w:p w14:paraId="06D92281" w14:textId="478F970E" w:rsidR="006D7AF5" w:rsidRPr="006741ED" w:rsidRDefault="0053682F" w:rsidP="00BE438F">
            <w:r>
              <w:t>Bey-Wright, Jah-Quan</w:t>
            </w:r>
          </w:p>
        </w:tc>
        <w:tc>
          <w:tcPr>
            <w:tcW w:w="360" w:type="dxa"/>
          </w:tcPr>
          <w:p w14:paraId="530D5214" w14:textId="77777777" w:rsidR="006D7AF5" w:rsidRPr="006741ED" w:rsidRDefault="006D7AF5" w:rsidP="00BE438F">
            <w:pPr>
              <w:jc w:val="center"/>
            </w:pPr>
          </w:p>
        </w:tc>
        <w:tc>
          <w:tcPr>
            <w:tcW w:w="360" w:type="dxa"/>
          </w:tcPr>
          <w:p w14:paraId="4112B157" w14:textId="401C9A76" w:rsidR="006D7AF5" w:rsidRPr="006741ED" w:rsidRDefault="00903A21" w:rsidP="00BE438F">
            <w:pPr>
              <w:jc w:val="center"/>
            </w:pPr>
            <w:r>
              <w:t>X</w:t>
            </w:r>
          </w:p>
        </w:tc>
        <w:tc>
          <w:tcPr>
            <w:tcW w:w="2160" w:type="dxa"/>
          </w:tcPr>
          <w:p w14:paraId="052A3BEA" w14:textId="1AA324B3" w:rsidR="006D7AF5" w:rsidRPr="006741ED" w:rsidRDefault="00F232B6" w:rsidP="00833634">
            <w:r>
              <w:t>Johnson, Donald</w:t>
            </w:r>
          </w:p>
        </w:tc>
        <w:tc>
          <w:tcPr>
            <w:tcW w:w="360" w:type="dxa"/>
          </w:tcPr>
          <w:p w14:paraId="4049234D" w14:textId="77777777" w:rsidR="006D7AF5" w:rsidRPr="006741ED" w:rsidRDefault="006D7AF5" w:rsidP="00BE438F">
            <w:pPr>
              <w:jc w:val="center"/>
            </w:pPr>
          </w:p>
        </w:tc>
        <w:tc>
          <w:tcPr>
            <w:tcW w:w="360" w:type="dxa"/>
          </w:tcPr>
          <w:p w14:paraId="50DC09A7" w14:textId="4CBB14DF" w:rsidR="006D7AF5" w:rsidRPr="006741ED" w:rsidRDefault="00903A21" w:rsidP="00BE438F">
            <w:pPr>
              <w:jc w:val="center"/>
            </w:pPr>
            <w:r>
              <w:t>X</w:t>
            </w:r>
          </w:p>
        </w:tc>
        <w:tc>
          <w:tcPr>
            <w:tcW w:w="1978" w:type="dxa"/>
          </w:tcPr>
          <w:p w14:paraId="246B2CDA" w14:textId="23AE4E5A" w:rsidR="006D7AF5" w:rsidRPr="006741ED" w:rsidRDefault="00123A2B" w:rsidP="00BE438F">
            <w:r w:rsidRPr="00123A2B">
              <w:t>Carter, Mae</w:t>
            </w:r>
          </w:p>
        </w:tc>
        <w:tc>
          <w:tcPr>
            <w:tcW w:w="328" w:type="dxa"/>
          </w:tcPr>
          <w:p w14:paraId="3EA4713A" w14:textId="77777777" w:rsidR="006D7AF5" w:rsidRPr="004D36F0" w:rsidRDefault="006D7AF5" w:rsidP="00BE438F">
            <w:pPr>
              <w:jc w:val="center"/>
              <w:rPr>
                <w:bCs/>
              </w:rPr>
            </w:pPr>
          </w:p>
        </w:tc>
        <w:tc>
          <w:tcPr>
            <w:tcW w:w="342" w:type="dxa"/>
          </w:tcPr>
          <w:p w14:paraId="4598833B" w14:textId="0FC60E8B" w:rsidR="006D7AF5" w:rsidRPr="004D36F0" w:rsidRDefault="00903A21" w:rsidP="00670171">
            <w:pPr>
              <w:jc w:val="center"/>
              <w:rPr>
                <w:bCs/>
              </w:rPr>
            </w:pPr>
            <w:r>
              <w:rPr>
                <w:bCs/>
              </w:rPr>
              <w:t>X</w:t>
            </w:r>
          </w:p>
        </w:tc>
      </w:tr>
      <w:tr w:rsidR="006D7AF5" w:rsidRPr="004D36F0" w14:paraId="61334469" w14:textId="77777777" w:rsidTr="00903A21">
        <w:tc>
          <w:tcPr>
            <w:tcW w:w="2178" w:type="dxa"/>
          </w:tcPr>
          <w:p w14:paraId="22B7ADFF" w14:textId="7BD40D9E" w:rsidR="006D7AF5" w:rsidRPr="006741ED" w:rsidRDefault="0053682F" w:rsidP="00BE438F">
            <w:r>
              <w:t>Love-joy-Grinnel</w:t>
            </w:r>
            <w:r w:rsidR="00F232B6">
              <w:t>l, Bryn</w:t>
            </w:r>
          </w:p>
        </w:tc>
        <w:tc>
          <w:tcPr>
            <w:tcW w:w="360" w:type="dxa"/>
          </w:tcPr>
          <w:p w14:paraId="7B9AC32F" w14:textId="7D4BAA26" w:rsidR="006D7AF5" w:rsidRPr="006741ED" w:rsidRDefault="00903A21" w:rsidP="00BE438F">
            <w:pPr>
              <w:jc w:val="center"/>
            </w:pPr>
            <w:r>
              <w:t>X</w:t>
            </w:r>
          </w:p>
        </w:tc>
        <w:tc>
          <w:tcPr>
            <w:tcW w:w="360" w:type="dxa"/>
          </w:tcPr>
          <w:p w14:paraId="7B3EE113" w14:textId="77777777" w:rsidR="006D7AF5" w:rsidRPr="006741ED" w:rsidRDefault="006D7AF5" w:rsidP="00BE438F">
            <w:pPr>
              <w:jc w:val="center"/>
            </w:pPr>
          </w:p>
        </w:tc>
        <w:tc>
          <w:tcPr>
            <w:tcW w:w="2160" w:type="dxa"/>
          </w:tcPr>
          <w:p w14:paraId="364D919C" w14:textId="6DF6E75E" w:rsidR="006D7AF5" w:rsidRPr="006741ED" w:rsidRDefault="000244F2" w:rsidP="00833634">
            <w:r>
              <w:t>Favata, Joseph</w:t>
            </w:r>
          </w:p>
        </w:tc>
        <w:tc>
          <w:tcPr>
            <w:tcW w:w="360" w:type="dxa"/>
          </w:tcPr>
          <w:p w14:paraId="58D7E350" w14:textId="20817975" w:rsidR="006D7AF5" w:rsidRPr="006741ED" w:rsidRDefault="00903A21" w:rsidP="00BE438F">
            <w:pPr>
              <w:jc w:val="center"/>
            </w:pPr>
            <w:r>
              <w:t>X</w:t>
            </w:r>
          </w:p>
        </w:tc>
        <w:tc>
          <w:tcPr>
            <w:tcW w:w="360" w:type="dxa"/>
          </w:tcPr>
          <w:p w14:paraId="6D386580" w14:textId="77777777" w:rsidR="006D7AF5" w:rsidRPr="006741ED" w:rsidRDefault="006D7AF5" w:rsidP="00BE438F">
            <w:pPr>
              <w:jc w:val="center"/>
            </w:pPr>
          </w:p>
        </w:tc>
        <w:tc>
          <w:tcPr>
            <w:tcW w:w="1978" w:type="dxa"/>
          </w:tcPr>
          <w:p w14:paraId="279ADFDB" w14:textId="0A467FE1" w:rsidR="006D7AF5" w:rsidRPr="006741ED" w:rsidRDefault="007C2C18" w:rsidP="00BE438F">
            <w:r>
              <w:t>Betts, Linda J.</w:t>
            </w:r>
          </w:p>
        </w:tc>
        <w:tc>
          <w:tcPr>
            <w:tcW w:w="328" w:type="dxa"/>
          </w:tcPr>
          <w:p w14:paraId="7B8A8DE0" w14:textId="77777777" w:rsidR="006D7AF5" w:rsidRPr="004D36F0" w:rsidRDefault="006D7AF5" w:rsidP="00BE438F">
            <w:pPr>
              <w:jc w:val="center"/>
              <w:rPr>
                <w:bCs/>
              </w:rPr>
            </w:pPr>
          </w:p>
        </w:tc>
        <w:tc>
          <w:tcPr>
            <w:tcW w:w="342" w:type="dxa"/>
          </w:tcPr>
          <w:p w14:paraId="0D71C8DB" w14:textId="3C289C06" w:rsidR="006D7AF5" w:rsidRPr="004D36F0" w:rsidRDefault="00903A21" w:rsidP="00670171">
            <w:pPr>
              <w:jc w:val="center"/>
              <w:rPr>
                <w:bCs/>
              </w:rPr>
            </w:pPr>
            <w:r>
              <w:rPr>
                <w:bCs/>
              </w:rPr>
              <w:t>X</w:t>
            </w:r>
          </w:p>
        </w:tc>
      </w:tr>
      <w:tr w:rsidR="006D7AF5" w:rsidRPr="004D36F0" w14:paraId="414CC872" w14:textId="77777777" w:rsidTr="00903A21">
        <w:tc>
          <w:tcPr>
            <w:tcW w:w="2178" w:type="dxa"/>
          </w:tcPr>
          <w:p w14:paraId="06D45B98" w14:textId="0A9F6086" w:rsidR="006D7AF5" w:rsidRPr="006741ED" w:rsidRDefault="006D7AF5" w:rsidP="00833634"/>
        </w:tc>
        <w:tc>
          <w:tcPr>
            <w:tcW w:w="360" w:type="dxa"/>
          </w:tcPr>
          <w:p w14:paraId="1BCA9BD4" w14:textId="77777777" w:rsidR="006D7AF5" w:rsidRPr="006741ED" w:rsidRDefault="006D7AF5" w:rsidP="00BE438F">
            <w:pPr>
              <w:jc w:val="center"/>
            </w:pPr>
          </w:p>
        </w:tc>
        <w:tc>
          <w:tcPr>
            <w:tcW w:w="360" w:type="dxa"/>
          </w:tcPr>
          <w:p w14:paraId="46C8E40A" w14:textId="77777777" w:rsidR="006D7AF5" w:rsidRPr="006741ED" w:rsidRDefault="006D7AF5" w:rsidP="00BE438F">
            <w:pPr>
              <w:jc w:val="center"/>
            </w:pPr>
          </w:p>
        </w:tc>
        <w:tc>
          <w:tcPr>
            <w:tcW w:w="2160" w:type="dxa"/>
          </w:tcPr>
          <w:p w14:paraId="23E12D2D" w14:textId="77777777" w:rsidR="006D7AF5" w:rsidRPr="006741ED" w:rsidRDefault="006D7AF5" w:rsidP="00833634"/>
        </w:tc>
        <w:tc>
          <w:tcPr>
            <w:tcW w:w="360" w:type="dxa"/>
          </w:tcPr>
          <w:p w14:paraId="108ECD26" w14:textId="77777777" w:rsidR="006D7AF5" w:rsidRPr="006741ED" w:rsidRDefault="006D7AF5" w:rsidP="00BE438F">
            <w:pPr>
              <w:jc w:val="center"/>
            </w:pPr>
          </w:p>
        </w:tc>
        <w:tc>
          <w:tcPr>
            <w:tcW w:w="360" w:type="dxa"/>
          </w:tcPr>
          <w:p w14:paraId="5160EE50" w14:textId="77777777" w:rsidR="006D7AF5" w:rsidRPr="006741ED" w:rsidRDefault="006D7AF5" w:rsidP="00BE438F">
            <w:pPr>
              <w:jc w:val="center"/>
            </w:pPr>
          </w:p>
        </w:tc>
        <w:tc>
          <w:tcPr>
            <w:tcW w:w="1978" w:type="dxa"/>
          </w:tcPr>
          <w:p w14:paraId="0EA36628" w14:textId="77777777" w:rsidR="006D7AF5" w:rsidRPr="006741ED" w:rsidRDefault="006D7AF5" w:rsidP="00BE438F"/>
        </w:tc>
        <w:tc>
          <w:tcPr>
            <w:tcW w:w="328" w:type="dxa"/>
          </w:tcPr>
          <w:p w14:paraId="2D92C002" w14:textId="77777777" w:rsidR="006D7AF5" w:rsidRPr="004D36F0" w:rsidRDefault="006D7AF5" w:rsidP="00BE438F">
            <w:pPr>
              <w:jc w:val="center"/>
              <w:rPr>
                <w:bCs/>
              </w:rPr>
            </w:pPr>
          </w:p>
        </w:tc>
        <w:tc>
          <w:tcPr>
            <w:tcW w:w="342" w:type="dxa"/>
          </w:tcPr>
          <w:p w14:paraId="71DCDE65" w14:textId="77777777" w:rsidR="006D7AF5" w:rsidRPr="004D36F0" w:rsidRDefault="006D7AF5" w:rsidP="00670171">
            <w:pPr>
              <w:jc w:val="center"/>
              <w:rPr>
                <w:bCs/>
              </w:rPr>
            </w:pPr>
          </w:p>
        </w:tc>
      </w:tr>
      <w:tr w:rsidR="006D7AF5" w:rsidRPr="004D36F0" w14:paraId="3B72C634" w14:textId="77777777" w:rsidTr="00903A21">
        <w:tc>
          <w:tcPr>
            <w:tcW w:w="2178" w:type="dxa"/>
          </w:tcPr>
          <w:p w14:paraId="39B28BB7" w14:textId="77777777" w:rsidR="006D7AF5" w:rsidRPr="006741ED" w:rsidRDefault="006D7AF5" w:rsidP="00833634"/>
        </w:tc>
        <w:tc>
          <w:tcPr>
            <w:tcW w:w="360" w:type="dxa"/>
          </w:tcPr>
          <w:p w14:paraId="11A6BE34" w14:textId="77777777" w:rsidR="006D7AF5" w:rsidRPr="006741ED" w:rsidRDefault="006D7AF5" w:rsidP="00BE438F">
            <w:pPr>
              <w:jc w:val="center"/>
            </w:pPr>
          </w:p>
        </w:tc>
        <w:tc>
          <w:tcPr>
            <w:tcW w:w="360" w:type="dxa"/>
          </w:tcPr>
          <w:p w14:paraId="44DB98BF" w14:textId="77777777" w:rsidR="006D7AF5" w:rsidRPr="006741ED" w:rsidRDefault="006D7AF5" w:rsidP="00BE438F">
            <w:pPr>
              <w:jc w:val="center"/>
            </w:pPr>
          </w:p>
        </w:tc>
        <w:tc>
          <w:tcPr>
            <w:tcW w:w="2160" w:type="dxa"/>
          </w:tcPr>
          <w:p w14:paraId="377FB8A5" w14:textId="77777777" w:rsidR="006D7AF5" w:rsidRPr="006741ED" w:rsidRDefault="006D7AF5" w:rsidP="00833634"/>
        </w:tc>
        <w:tc>
          <w:tcPr>
            <w:tcW w:w="360" w:type="dxa"/>
          </w:tcPr>
          <w:p w14:paraId="39DB62F1" w14:textId="77777777" w:rsidR="006D7AF5" w:rsidRPr="006741ED" w:rsidRDefault="006D7AF5" w:rsidP="00BE438F">
            <w:pPr>
              <w:jc w:val="center"/>
            </w:pPr>
          </w:p>
        </w:tc>
        <w:tc>
          <w:tcPr>
            <w:tcW w:w="360" w:type="dxa"/>
          </w:tcPr>
          <w:p w14:paraId="306F7897" w14:textId="77777777" w:rsidR="006D7AF5" w:rsidRPr="006741ED" w:rsidRDefault="006D7AF5" w:rsidP="00BE438F">
            <w:pPr>
              <w:jc w:val="center"/>
            </w:pPr>
          </w:p>
        </w:tc>
        <w:tc>
          <w:tcPr>
            <w:tcW w:w="1978" w:type="dxa"/>
          </w:tcPr>
          <w:p w14:paraId="3F7205CF" w14:textId="77777777" w:rsidR="006D7AF5" w:rsidRPr="006741ED" w:rsidRDefault="006D7AF5" w:rsidP="00BE438F"/>
        </w:tc>
        <w:tc>
          <w:tcPr>
            <w:tcW w:w="328" w:type="dxa"/>
          </w:tcPr>
          <w:p w14:paraId="14559E95" w14:textId="77777777" w:rsidR="006D7AF5" w:rsidRPr="004D36F0" w:rsidRDefault="006D7AF5" w:rsidP="00BE438F">
            <w:pPr>
              <w:jc w:val="center"/>
              <w:rPr>
                <w:bCs/>
              </w:rPr>
            </w:pPr>
          </w:p>
        </w:tc>
        <w:tc>
          <w:tcPr>
            <w:tcW w:w="342" w:type="dxa"/>
          </w:tcPr>
          <w:p w14:paraId="33B17F70" w14:textId="77777777" w:rsidR="006D7AF5" w:rsidRPr="004D36F0" w:rsidRDefault="006D7AF5" w:rsidP="00670171">
            <w:pPr>
              <w:jc w:val="center"/>
              <w:rPr>
                <w:bCs/>
              </w:rPr>
            </w:pPr>
          </w:p>
        </w:tc>
      </w:tr>
      <w:tr w:rsidR="006D7AF5" w:rsidRPr="004D36F0" w14:paraId="5A2B9543" w14:textId="77777777" w:rsidTr="00903A21">
        <w:tc>
          <w:tcPr>
            <w:tcW w:w="2178" w:type="dxa"/>
          </w:tcPr>
          <w:p w14:paraId="3D2A7C8D" w14:textId="77777777" w:rsidR="006D7AF5" w:rsidRPr="006741ED" w:rsidRDefault="006D7AF5" w:rsidP="00833634"/>
        </w:tc>
        <w:tc>
          <w:tcPr>
            <w:tcW w:w="360" w:type="dxa"/>
          </w:tcPr>
          <w:p w14:paraId="21F907E3" w14:textId="77777777" w:rsidR="006D7AF5" w:rsidRPr="006741ED" w:rsidRDefault="006D7AF5" w:rsidP="00BE438F">
            <w:pPr>
              <w:jc w:val="center"/>
            </w:pPr>
          </w:p>
        </w:tc>
        <w:tc>
          <w:tcPr>
            <w:tcW w:w="360" w:type="dxa"/>
          </w:tcPr>
          <w:p w14:paraId="69B0610F" w14:textId="77777777" w:rsidR="006D7AF5" w:rsidRPr="006741ED" w:rsidRDefault="006D7AF5" w:rsidP="00BE438F">
            <w:pPr>
              <w:jc w:val="center"/>
            </w:pPr>
          </w:p>
        </w:tc>
        <w:tc>
          <w:tcPr>
            <w:tcW w:w="2160" w:type="dxa"/>
          </w:tcPr>
          <w:p w14:paraId="2E88753C" w14:textId="77777777" w:rsidR="006D7AF5" w:rsidRPr="006741ED" w:rsidRDefault="006D7AF5" w:rsidP="00833634"/>
        </w:tc>
        <w:tc>
          <w:tcPr>
            <w:tcW w:w="360" w:type="dxa"/>
          </w:tcPr>
          <w:p w14:paraId="44065125" w14:textId="77777777" w:rsidR="006D7AF5" w:rsidRPr="006741ED" w:rsidRDefault="006D7AF5" w:rsidP="00BE438F">
            <w:pPr>
              <w:jc w:val="center"/>
            </w:pPr>
          </w:p>
        </w:tc>
        <w:tc>
          <w:tcPr>
            <w:tcW w:w="360" w:type="dxa"/>
          </w:tcPr>
          <w:p w14:paraId="4163C3D2" w14:textId="77777777" w:rsidR="006D7AF5" w:rsidRPr="006741ED" w:rsidRDefault="006D7AF5" w:rsidP="00BE438F">
            <w:pPr>
              <w:jc w:val="center"/>
            </w:pPr>
          </w:p>
        </w:tc>
        <w:tc>
          <w:tcPr>
            <w:tcW w:w="1978" w:type="dxa"/>
          </w:tcPr>
          <w:p w14:paraId="2B5C1ECA" w14:textId="77777777" w:rsidR="006D7AF5" w:rsidRPr="006741ED" w:rsidRDefault="006D7AF5" w:rsidP="00BE438F"/>
        </w:tc>
        <w:tc>
          <w:tcPr>
            <w:tcW w:w="328" w:type="dxa"/>
          </w:tcPr>
          <w:p w14:paraId="0815FA83" w14:textId="77777777" w:rsidR="006D7AF5" w:rsidRPr="004D36F0" w:rsidRDefault="006D7AF5" w:rsidP="00BE438F">
            <w:pPr>
              <w:jc w:val="center"/>
              <w:rPr>
                <w:bCs/>
              </w:rPr>
            </w:pPr>
          </w:p>
        </w:tc>
        <w:tc>
          <w:tcPr>
            <w:tcW w:w="342" w:type="dxa"/>
          </w:tcPr>
          <w:p w14:paraId="4E381FDF" w14:textId="77777777" w:rsidR="006D7AF5" w:rsidRPr="004D36F0" w:rsidRDefault="006D7AF5" w:rsidP="00670171">
            <w:pPr>
              <w:jc w:val="center"/>
              <w:rPr>
                <w:bCs/>
              </w:rPr>
            </w:pPr>
          </w:p>
        </w:tc>
      </w:tr>
    </w:tbl>
    <w:p w14:paraId="550A10B8" w14:textId="77777777" w:rsidR="004D36F0" w:rsidRDefault="004D36F0" w:rsidP="004D36F0">
      <w:pPr>
        <w:rPr>
          <w:sz w:val="24"/>
        </w:rPr>
      </w:pPr>
    </w:p>
    <w:p w14:paraId="7E303377" w14:textId="56429B7F" w:rsidR="004D36F0" w:rsidRDefault="004D36F0" w:rsidP="004D36F0">
      <w:pPr>
        <w:jc w:val="both"/>
        <w:rPr>
          <w:sz w:val="24"/>
        </w:rPr>
      </w:pPr>
      <w:r w:rsidRPr="004D36F0">
        <w:rPr>
          <w:sz w:val="24"/>
        </w:rPr>
        <w:t xml:space="preserve">On </w:t>
      </w:r>
      <w:r w:rsidR="00476FE3" w:rsidRPr="00476FE3">
        <w:rPr>
          <w:sz w:val="24"/>
        </w:rPr>
        <w:t>Thursday,</w:t>
      </w:r>
      <w:r w:rsidR="00476FE3" w:rsidRPr="00774CF0">
        <w:rPr>
          <w:b/>
          <w:sz w:val="24"/>
        </w:rPr>
        <w:t xml:space="preserve"> </w:t>
      </w:r>
      <w:r w:rsidR="00BA6C8A">
        <w:rPr>
          <w:sz w:val="24"/>
        </w:rPr>
        <w:t>May 2, 2024</w:t>
      </w:r>
      <w:r w:rsidRPr="004D36F0">
        <w:rPr>
          <w:sz w:val="24"/>
        </w:rPr>
        <w:t xml:space="preserve">, the City of Syracuse Citizen Review Board (CRB) held an open, stated meeting at </w:t>
      </w:r>
      <w:r w:rsidR="000569C1">
        <w:rPr>
          <w:sz w:val="24"/>
        </w:rPr>
        <w:t xml:space="preserve">304 </w:t>
      </w:r>
      <w:r w:rsidRPr="004D36F0">
        <w:rPr>
          <w:sz w:val="24"/>
        </w:rPr>
        <w:t>City Hall in the Common Council Chambers.</w:t>
      </w:r>
    </w:p>
    <w:p w14:paraId="1A334728" w14:textId="77777777" w:rsidR="004D36F0" w:rsidRPr="004D36F0" w:rsidRDefault="004D36F0" w:rsidP="004D36F0">
      <w:pPr>
        <w:rPr>
          <w:sz w:val="24"/>
        </w:rPr>
      </w:pPr>
    </w:p>
    <w:p w14:paraId="3C3D84CD" w14:textId="6A86DDF3" w:rsidR="004D36F0" w:rsidRDefault="00085EA1" w:rsidP="004D36F0">
      <w:pPr>
        <w:jc w:val="both"/>
        <w:rPr>
          <w:sz w:val="24"/>
        </w:rPr>
      </w:pPr>
      <w:r>
        <w:rPr>
          <w:sz w:val="24"/>
        </w:rPr>
        <w:t>Lori Nilsson</w:t>
      </w:r>
      <w:r w:rsidR="00BD611E">
        <w:rPr>
          <w:sz w:val="24"/>
        </w:rPr>
        <w:t>, Board Chair,</w:t>
      </w:r>
      <w:r w:rsidR="00BD611E" w:rsidRPr="004D36F0">
        <w:rPr>
          <w:sz w:val="24"/>
        </w:rPr>
        <w:t xml:space="preserve"> </w:t>
      </w:r>
      <w:r w:rsidR="004D36F0" w:rsidRPr="004D36F0">
        <w:rPr>
          <w:sz w:val="24"/>
        </w:rPr>
        <w:t xml:space="preserve">called the meeting to order and announced that the meeting was being held pursuant to notice and that a quorum was </w:t>
      </w:r>
      <w:r>
        <w:rPr>
          <w:sz w:val="24"/>
        </w:rPr>
        <w:t xml:space="preserve">not </w:t>
      </w:r>
      <w:r w:rsidR="004D36F0" w:rsidRPr="004D36F0">
        <w:rPr>
          <w:sz w:val="24"/>
        </w:rPr>
        <w:t>present</w:t>
      </w:r>
      <w:r w:rsidR="00317EBF">
        <w:rPr>
          <w:sz w:val="24"/>
        </w:rPr>
        <w:t>.</w:t>
      </w:r>
    </w:p>
    <w:p w14:paraId="0E6AA9B6" w14:textId="77777777" w:rsidR="004D36F0" w:rsidRDefault="004D36F0" w:rsidP="004D36F0">
      <w:pPr>
        <w:rPr>
          <w:sz w:val="24"/>
        </w:rPr>
      </w:pPr>
    </w:p>
    <w:p w14:paraId="2CFD5621" w14:textId="77777777" w:rsidR="008206F9" w:rsidRPr="008206F9" w:rsidRDefault="008206F9" w:rsidP="008206F9">
      <w:pPr>
        <w:numPr>
          <w:ilvl w:val="0"/>
          <w:numId w:val="1"/>
        </w:numPr>
        <w:jc w:val="both"/>
        <w:rPr>
          <w:sz w:val="24"/>
        </w:rPr>
      </w:pPr>
      <w:r w:rsidRPr="008206F9">
        <w:rPr>
          <w:sz w:val="24"/>
        </w:rPr>
        <w:t>Board Action Items</w:t>
      </w:r>
    </w:p>
    <w:p w14:paraId="0DDDED82" w14:textId="2128485B" w:rsidR="001E510E" w:rsidRDefault="00B5170E" w:rsidP="001E510E">
      <w:pPr>
        <w:numPr>
          <w:ilvl w:val="1"/>
          <w:numId w:val="1"/>
        </w:numPr>
        <w:ind w:left="1080"/>
        <w:jc w:val="both"/>
        <w:rPr>
          <w:sz w:val="24"/>
        </w:rPr>
      </w:pPr>
      <w:r>
        <w:rPr>
          <w:sz w:val="24"/>
        </w:rPr>
        <w:t>Approval of the April 4, 2024, minutes d</w:t>
      </w:r>
      <w:r w:rsidR="00EF438E">
        <w:rPr>
          <w:sz w:val="24"/>
        </w:rPr>
        <w:t>eferred until June 6</w:t>
      </w:r>
      <w:r w:rsidR="00EF438E" w:rsidRPr="00EF438E">
        <w:rPr>
          <w:sz w:val="24"/>
          <w:vertAlign w:val="superscript"/>
        </w:rPr>
        <w:t>th</w:t>
      </w:r>
      <w:r w:rsidR="00EF438E">
        <w:rPr>
          <w:sz w:val="24"/>
        </w:rPr>
        <w:t xml:space="preserve">, </w:t>
      </w:r>
      <w:r w:rsidR="00E761AC">
        <w:rPr>
          <w:sz w:val="24"/>
        </w:rPr>
        <w:t>2024, meeting</w:t>
      </w:r>
      <w:r w:rsidR="00EF438E">
        <w:rPr>
          <w:sz w:val="24"/>
        </w:rPr>
        <w:t>.</w:t>
      </w:r>
    </w:p>
    <w:p w14:paraId="5E3BF3A2" w14:textId="77777777" w:rsidR="008206F9" w:rsidRDefault="008206F9" w:rsidP="004D36F0">
      <w:pPr>
        <w:rPr>
          <w:sz w:val="24"/>
        </w:rPr>
      </w:pPr>
    </w:p>
    <w:p w14:paraId="3CFE8390" w14:textId="77777777" w:rsidR="00FC0B48" w:rsidRPr="00B86921" w:rsidRDefault="00FC0B48" w:rsidP="00FC0B48">
      <w:pPr>
        <w:numPr>
          <w:ilvl w:val="0"/>
          <w:numId w:val="1"/>
        </w:numPr>
        <w:rPr>
          <w:sz w:val="24"/>
        </w:rPr>
      </w:pPr>
      <w:r w:rsidRPr="00B86921">
        <w:rPr>
          <w:sz w:val="24"/>
        </w:rPr>
        <w:t>Chairman’s Items</w:t>
      </w:r>
    </w:p>
    <w:p w14:paraId="1C82832D" w14:textId="4524077E" w:rsidR="00FC0B48" w:rsidRDefault="00380822" w:rsidP="00380822">
      <w:pPr>
        <w:numPr>
          <w:ilvl w:val="1"/>
          <w:numId w:val="3"/>
        </w:numPr>
        <w:ind w:left="1080"/>
        <w:rPr>
          <w:sz w:val="24"/>
        </w:rPr>
      </w:pPr>
      <w:r>
        <w:rPr>
          <w:sz w:val="24"/>
        </w:rPr>
        <w:t xml:space="preserve">Lori Nilsson </w:t>
      </w:r>
      <w:r w:rsidR="005F04B6">
        <w:rPr>
          <w:sz w:val="24"/>
        </w:rPr>
        <w:t>thanked the public for attending the CRB public hearing yesterday</w:t>
      </w:r>
      <w:r w:rsidR="00F63D27">
        <w:rPr>
          <w:sz w:val="24"/>
        </w:rPr>
        <w:t>, May 1</w:t>
      </w:r>
      <w:r w:rsidR="00F63D27" w:rsidRPr="00F63D27">
        <w:rPr>
          <w:sz w:val="24"/>
          <w:vertAlign w:val="superscript"/>
        </w:rPr>
        <w:t>st</w:t>
      </w:r>
      <w:r w:rsidR="00F63D27">
        <w:rPr>
          <w:sz w:val="24"/>
        </w:rPr>
        <w:t>, 2024, and the CRB meeting May 2, 2024. She stated that</w:t>
      </w:r>
      <w:r w:rsidR="00CF7B10">
        <w:rPr>
          <w:sz w:val="24"/>
        </w:rPr>
        <w:t xml:space="preserve"> the CRB lost four board members in the last few weeks due to replacements and </w:t>
      </w:r>
      <w:r w:rsidR="00050364">
        <w:rPr>
          <w:sz w:val="24"/>
        </w:rPr>
        <w:t xml:space="preserve">made mention that the new appointees were not present. </w:t>
      </w:r>
      <w:r w:rsidR="00967B10">
        <w:rPr>
          <w:sz w:val="24"/>
        </w:rPr>
        <w:t xml:space="preserve">She stated that </w:t>
      </w:r>
      <w:r w:rsidR="009F02BD">
        <w:rPr>
          <w:sz w:val="24"/>
        </w:rPr>
        <w:t>one person was appointed and resigned before they started serving and those are the reasons for the</w:t>
      </w:r>
      <w:r w:rsidR="00126D17">
        <w:rPr>
          <w:sz w:val="24"/>
        </w:rPr>
        <w:t>re</w:t>
      </w:r>
      <w:r w:rsidR="009F02BD">
        <w:rPr>
          <w:sz w:val="24"/>
        </w:rPr>
        <w:t xml:space="preserve"> not</w:t>
      </w:r>
      <w:r w:rsidR="0059068C">
        <w:rPr>
          <w:sz w:val="24"/>
        </w:rPr>
        <w:t xml:space="preserve"> being a quorum. </w:t>
      </w:r>
    </w:p>
    <w:p w14:paraId="08A4657C" w14:textId="0E0F7432" w:rsidR="0059068C" w:rsidRPr="00380822" w:rsidRDefault="0059068C" w:rsidP="00380822">
      <w:pPr>
        <w:numPr>
          <w:ilvl w:val="1"/>
          <w:numId w:val="3"/>
        </w:numPr>
        <w:ind w:left="1080"/>
        <w:rPr>
          <w:sz w:val="24"/>
        </w:rPr>
      </w:pPr>
      <w:r>
        <w:rPr>
          <w:sz w:val="24"/>
        </w:rPr>
        <w:t xml:space="preserve">Lori </w:t>
      </w:r>
      <w:r w:rsidR="00255F0A">
        <w:rPr>
          <w:sz w:val="24"/>
        </w:rPr>
        <w:t xml:space="preserve">stated that due to some of the replacements she had to get another crew to do the administrators evaluation, but she </w:t>
      </w:r>
      <w:r w:rsidR="006A1CDC">
        <w:rPr>
          <w:sz w:val="24"/>
        </w:rPr>
        <w:t xml:space="preserve">has </w:t>
      </w:r>
      <w:r w:rsidR="00542733">
        <w:rPr>
          <w:sz w:val="24"/>
        </w:rPr>
        <w:t xml:space="preserve">three board members who agreed to do the evaluation and she has spoken to the </w:t>
      </w:r>
      <w:r w:rsidR="009E548E">
        <w:rPr>
          <w:sz w:val="24"/>
        </w:rPr>
        <w:t>mayor’s</w:t>
      </w:r>
      <w:r w:rsidR="00542733">
        <w:rPr>
          <w:sz w:val="24"/>
        </w:rPr>
        <w:t xml:space="preserve"> </w:t>
      </w:r>
      <w:r w:rsidR="00FF7949">
        <w:rPr>
          <w:sz w:val="24"/>
        </w:rPr>
        <w:t>office,</w:t>
      </w:r>
      <w:r w:rsidR="009E548E">
        <w:rPr>
          <w:sz w:val="24"/>
        </w:rPr>
        <w:t xml:space="preserve"> and she intends to reach out to the councilor. </w:t>
      </w:r>
    </w:p>
    <w:p w14:paraId="55EF157C" w14:textId="77777777" w:rsidR="00FC0B48" w:rsidRPr="00B86921" w:rsidRDefault="00FC0B48" w:rsidP="00FC0B48">
      <w:pPr>
        <w:rPr>
          <w:sz w:val="24"/>
        </w:rPr>
      </w:pPr>
    </w:p>
    <w:p w14:paraId="50182278" w14:textId="77777777" w:rsidR="00FC0B48" w:rsidRPr="00B86921" w:rsidRDefault="00954F80" w:rsidP="00FC0B48">
      <w:pPr>
        <w:numPr>
          <w:ilvl w:val="0"/>
          <w:numId w:val="1"/>
        </w:numPr>
        <w:rPr>
          <w:sz w:val="24"/>
        </w:rPr>
      </w:pPr>
      <w:r>
        <w:rPr>
          <w:sz w:val="24"/>
        </w:rPr>
        <w:t>Administrator’s Report</w:t>
      </w:r>
    </w:p>
    <w:p w14:paraId="48EF2910" w14:textId="774E1667" w:rsidR="00FC0B48" w:rsidRDefault="009B470C" w:rsidP="00E82B99">
      <w:pPr>
        <w:numPr>
          <w:ilvl w:val="1"/>
          <w:numId w:val="4"/>
        </w:numPr>
        <w:ind w:left="1080"/>
        <w:rPr>
          <w:sz w:val="24"/>
        </w:rPr>
      </w:pPr>
      <w:r>
        <w:rPr>
          <w:sz w:val="24"/>
        </w:rPr>
        <w:t xml:space="preserve">Activity Report </w:t>
      </w:r>
      <w:r w:rsidR="006B1FA1">
        <w:rPr>
          <w:sz w:val="24"/>
        </w:rPr>
        <w:t>–</w:t>
      </w:r>
      <w:r>
        <w:rPr>
          <w:sz w:val="24"/>
        </w:rPr>
        <w:t xml:space="preserve"> </w:t>
      </w:r>
      <w:r w:rsidR="00A17723">
        <w:rPr>
          <w:sz w:val="24"/>
        </w:rPr>
        <w:t>Ranette Releford stated w</w:t>
      </w:r>
      <w:r w:rsidR="006B1FA1">
        <w:rPr>
          <w:sz w:val="24"/>
        </w:rPr>
        <w:t>e received four new c</w:t>
      </w:r>
      <w:r w:rsidR="00866F23">
        <w:rPr>
          <w:sz w:val="24"/>
        </w:rPr>
        <w:t>ases</w:t>
      </w:r>
      <w:r w:rsidR="006B1FA1">
        <w:rPr>
          <w:sz w:val="24"/>
        </w:rPr>
        <w:t xml:space="preserve"> in the month of </w:t>
      </w:r>
      <w:r w:rsidR="00866F23">
        <w:rPr>
          <w:sz w:val="24"/>
        </w:rPr>
        <w:t>April,</w:t>
      </w:r>
      <w:r w:rsidR="006B1FA1">
        <w:rPr>
          <w:sz w:val="24"/>
        </w:rPr>
        <w:t xml:space="preserve"> </w:t>
      </w:r>
      <w:r w:rsidR="00866F23">
        <w:rPr>
          <w:sz w:val="24"/>
        </w:rPr>
        <w:t>one online, two from the office of professional standards, and one in person. To date we have a total of twenty-one cases</w:t>
      </w:r>
      <w:r w:rsidR="00254333">
        <w:rPr>
          <w:sz w:val="24"/>
        </w:rPr>
        <w:t xml:space="preserve"> for 2024. Ranette mentioned that in </w:t>
      </w:r>
      <w:proofErr w:type="gramStart"/>
      <w:r w:rsidR="00254333">
        <w:rPr>
          <w:sz w:val="24"/>
        </w:rPr>
        <w:t>executive</w:t>
      </w:r>
      <w:proofErr w:type="gramEnd"/>
      <w:r w:rsidR="00254333">
        <w:rPr>
          <w:sz w:val="24"/>
        </w:rPr>
        <w:t xml:space="preserve"> session </w:t>
      </w:r>
      <w:r w:rsidR="00960E54">
        <w:rPr>
          <w:sz w:val="24"/>
        </w:rPr>
        <w:t xml:space="preserve">six cases were supposed to be reviewed but there is not a quorum so they will not move to executive session. </w:t>
      </w:r>
    </w:p>
    <w:p w14:paraId="21159552" w14:textId="77777777" w:rsidR="00FC0B48" w:rsidRPr="00B86921" w:rsidRDefault="00FC0B48" w:rsidP="00FC0B48">
      <w:pPr>
        <w:rPr>
          <w:sz w:val="24"/>
        </w:rPr>
      </w:pPr>
    </w:p>
    <w:p w14:paraId="41A82EF4" w14:textId="5BF85C32" w:rsidR="00FC0B48" w:rsidRDefault="006F4F03" w:rsidP="006F4F03">
      <w:pPr>
        <w:numPr>
          <w:ilvl w:val="1"/>
          <w:numId w:val="4"/>
        </w:numPr>
        <w:ind w:left="1080"/>
        <w:rPr>
          <w:sz w:val="24"/>
        </w:rPr>
      </w:pPr>
      <w:r w:rsidRPr="006F4F03">
        <w:rPr>
          <w:sz w:val="24"/>
        </w:rPr>
        <w:lastRenderedPageBreak/>
        <w:t>Ranette</w:t>
      </w:r>
      <w:r>
        <w:rPr>
          <w:sz w:val="24"/>
        </w:rPr>
        <w:t xml:space="preserve"> mentioned the budget hearing </w:t>
      </w:r>
      <w:r w:rsidR="0074662C">
        <w:rPr>
          <w:sz w:val="24"/>
        </w:rPr>
        <w:t>that took place</w:t>
      </w:r>
      <w:r w:rsidR="006C5899">
        <w:rPr>
          <w:sz w:val="24"/>
        </w:rPr>
        <w:t xml:space="preserve"> and </w:t>
      </w:r>
      <w:r w:rsidR="008761C7">
        <w:rPr>
          <w:sz w:val="24"/>
        </w:rPr>
        <w:t xml:space="preserve">that the budget is to be approved by the council this upcoming Monday, May 6, 2024. </w:t>
      </w:r>
    </w:p>
    <w:p w14:paraId="339A2CE1" w14:textId="77777777" w:rsidR="00727805" w:rsidRDefault="00727805" w:rsidP="00727805">
      <w:pPr>
        <w:pStyle w:val="ListParagraph"/>
        <w:rPr>
          <w:sz w:val="24"/>
        </w:rPr>
      </w:pPr>
    </w:p>
    <w:p w14:paraId="31520BC4" w14:textId="2FED51E6" w:rsidR="00727805" w:rsidRDefault="00727805" w:rsidP="006F4F03">
      <w:pPr>
        <w:numPr>
          <w:ilvl w:val="1"/>
          <w:numId w:val="4"/>
        </w:numPr>
        <w:ind w:left="1080"/>
        <w:rPr>
          <w:sz w:val="24"/>
        </w:rPr>
      </w:pPr>
      <w:r>
        <w:rPr>
          <w:sz w:val="24"/>
        </w:rPr>
        <w:t>Ranette mentioned we had a new board member appointed by the mayor’s office and his name is Donald Johnson</w:t>
      </w:r>
      <w:r w:rsidR="00E94460">
        <w:rPr>
          <w:sz w:val="24"/>
        </w:rPr>
        <w:t>, she stated that she spoke with him, and he is retired</w:t>
      </w:r>
      <w:r>
        <w:rPr>
          <w:sz w:val="24"/>
        </w:rPr>
        <w:t xml:space="preserve">. </w:t>
      </w:r>
      <w:r w:rsidR="00255095">
        <w:rPr>
          <w:sz w:val="24"/>
        </w:rPr>
        <w:t>Ranette</w:t>
      </w:r>
      <w:r w:rsidR="00E94460">
        <w:rPr>
          <w:sz w:val="24"/>
        </w:rPr>
        <w:t xml:space="preserve"> </w:t>
      </w:r>
      <w:r w:rsidR="00CA50F7">
        <w:rPr>
          <w:sz w:val="24"/>
        </w:rPr>
        <w:t xml:space="preserve">stated that we have </w:t>
      </w:r>
      <w:r w:rsidR="00255095">
        <w:rPr>
          <w:sz w:val="24"/>
        </w:rPr>
        <w:t>another board member Linda Betts, from the 5</w:t>
      </w:r>
      <w:r w:rsidR="00255095" w:rsidRPr="00255095">
        <w:rPr>
          <w:sz w:val="24"/>
          <w:vertAlign w:val="superscript"/>
        </w:rPr>
        <w:t>th</w:t>
      </w:r>
      <w:r w:rsidR="00255095">
        <w:rPr>
          <w:sz w:val="24"/>
        </w:rPr>
        <w:t xml:space="preserve"> district and she is retired as </w:t>
      </w:r>
      <w:r w:rsidR="00EA3FCE">
        <w:rPr>
          <w:sz w:val="24"/>
        </w:rPr>
        <w:t>well,</w:t>
      </w:r>
      <w:r w:rsidR="00563180">
        <w:rPr>
          <w:sz w:val="24"/>
        </w:rPr>
        <w:t xml:space="preserve"> and she also spoke with her. Ranette advised both board members still </w:t>
      </w:r>
      <w:r w:rsidR="00EA3FCE">
        <w:rPr>
          <w:sz w:val="24"/>
        </w:rPr>
        <w:t>must</w:t>
      </w:r>
      <w:r w:rsidR="00563180">
        <w:rPr>
          <w:sz w:val="24"/>
        </w:rPr>
        <w:t xml:space="preserve"> be sworn in</w:t>
      </w:r>
      <w:r w:rsidR="00F43F30">
        <w:rPr>
          <w:sz w:val="24"/>
        </w:rPr>
        <w:t>.</w:t>
      </w:r>
      <w:r w:rsidR="00841E41">
        <w:rPr>
          <w:sz w:val="24"/>
        </w:rPr>
        <w:t xml:space="preserve"> Ranette mentioned that Mae Carter is supposed to remain on the board until the end of this year</w:t>
      </w:r>
      <w:r w:rsidR="00AD57F8">
        <w:rPr>
          <w:sz w:val="24"/>
        </w:rPr>
        <w:t xml:space="preserve"> or until a replacement is found.</w:t>
      </w:r>
      <w:r w:rsidR="00A061F6">
        <w:rPr>
          <w:sz w:val="24"/>
        </w:rPr>
        <w:t xml:space="preserve"> Ranette mentioned that we still have openings in the first and fourth district. </w:t>
      </w:r>
    </w:p>
    <w:p w14:paraId="24DEB0B1" w14:textId="77777777" w:rsidR="008C0F1C" w:rsidRDefault="008C0F1C" w:rsidP="008C0F1C">
      <w:pPr>
        <w:pStyle w:val="ListParagraph"/>
        <w:rPr>
          <w:sz w:val="24"/>
        </w:rPr>
      </w:pPr>
    </w:p>
    <w:p w14:paraId="23E1B4B8" w14:textId="64733A7D" w:rsidR="008C0F1C" w:rsidRPr="006F4F03" w:rsidRDefault="008C0F1C" w:rsidP="006F4F03">
      <w:pPr>
        <w:numPr>
          <w:ilvl w:val="1"/>
          <w:numId w:val="4"/>
        </w:numPr>
        <w:ind w:left="1080"/>
        <w:rPr>
          <w:sz w:val="24"/>
        </w:rPr>
      </w:pPr>
      <w:r>
        <w:rPr>
          <w:sz w:val="24"/>
        </w:rPr>
        <w:t>Ranette mentioned that we received several letters related to hearings that w</w:t>
      </w:r>
      <w:r w:rsidR="00D75B46">
        <w:rPr>
          <w:sz w:val="24"/>
        </w:rPr>
        <w:t>ere</w:t>
      </w:r>
      <w:r>
        <w:rPr>
          <w:sz w:val="24"/>
        </w:rPr>
        <w:t xml:space="preserve"> going to be discussed further in executive session </w:t>
      </w:r>
      <w:r w:rsidR="003D1625">
        <w:rPr>
          <w:sz w:val="24"/>
        </w:rPr>
        <w:t xml:space="preserve">including dates proposed by SPD’s </w:t>
      </w:r>
      <w:r w:rsidR="00D75B46">
        <w:rPr>
          <w:sz w:val="24"/>
        </w:rPr>
        <w:t xml:space="preserve">counsel </w:t>
      </w:r>
      <w:r w:rsidR="007E6671">
        <w:rPr>
          <w:sz w:val="24"/>
        </w:rPr>
        <w:t>as potential dates to hold hearings after having to adjourn the last four hearing</w:t>
      </w:r>
      <w:r w:rsidR="0099650B">
        <w:rPr>
          <w:sz w:val="24"/>
        </w:rPr>
        <w:t>s</w:t>
      </w:r>
      <w:r w:rsidR="007E6671">
        <w:rPr>
          <w:sz w:val="24"/>
        </w:rPr>
        <w:t xml:space="preserve"> that were schedule</w:t>
      </w:r>
      <w:r w:rsidR="0099650B">
        <w:rPr>
          <w:sz w:val="24"/>
        </w:rPr>
        <w:t>d</w:t>
      </w:r>
      <w:r w:rsidR="007E6671">
        <w:rPr>
          <w:sz w:val="24"/>
        </w:rPr>
        <w:t xml:space="preserve"> due to inquiries by SPD’s attorney that needed to be sorted out by the board. </w:t>
      </w:r>
    </w:p>
    <w:p w14:paraId="6C1E2BB7" w14:textId="77777777" w:rsidR="00FC0B48" w:rsidRDefault="00FC0B48" w:rsidP="00FC0B48">
      <w:pPr>
        <w:rPr>
          <w:sz w:val="24"/>
        </w:rPr>
      </w:pPr>
    </w:p>
    <w:p w14:paraId="373A9B4C" w14:textId="77777777" w:rsidR="00FC0B48" w:rsidRPr="00B86921" w:rsidRDefault="00FC0B48" w:rsidP="00FC0B48">
      <w:pPr>
        <w:rPr>
          <w:sz w:val="24"/>
        </w:rPr>
      </w:pPr>
    </w:p>
    <w:p w14:paraId="5E6488DA" w14:textId="77777777" w:rsidR="00FC0B48" w:rsidRPr="00B86921" w:rsidRDefault="00954F80" w:rsidP="00FC0B48">
      <w:pPr>
        <w:numPr>
          <w:ilvl w:val="0"/>
          <w:numId w:val="1"/>
        </w:numPr>
        <w:rPr>
          <w:sz w:val="24"/>
        </w:rPr>
      </w:pPr>
      <w:r>
        <w:rPr>
          <w:sz w:val="24"/>
        </w:rPr>
        <w:t>Committees</w:t>
      </w:r>
    </w:p>
    <w:p w14:paraId="0A10DF6B" w14:textId="225BBF5F" w:rsidR="00FC0B48" w:rsidRPr="005718D6" w:rsidRDefault="00E82B99" w:rsidP="00B969DD">
      <w:pPr>
        <w:numPr>
          <w:ilvl w:val="0"/>
          <w:numId w:val="8"/>
        </w:numPr>
        <w:ind w:left="1080"/>
        <w:rPr>
          <w:sz w:val="24"/>
        </w:rPr>
      </w:pPr>
      <w:r w:rsidRPr="00E82B99">
        <w:rPr>
          <w:sz w:val="24"/>
        </w:rPr>
        <w:t>Outreach Committee</w:t>
      </w:r>
      <w:r>
        <w:rPr>
          <w:sz w:val="24"/>
        </w:rPr>
        <w:t xml:space="preserve"> – </w:t>
      </w:r>
      <w:r w:rsidR="00B969DD">
        <w:rPr>
          <w:sz w:val="24"/>
        </w:rPr>
        <w:t xml:space="preserve">Lori </w:t>
      </w:r>
      <w:r w:rsidR="00A17723">
        <w:rPr>
          <w:sz w:val="24"/>
        </w:rPr>
        <w:t>mentioned that we</w:t>
      </w:r>
      <w:r w:rsidR="000D5F2A">
        <w:rPr>
          <w:sz w:val="24"/>
        </w:rPr>
        <w:t xml:space="preserve"> are having a block party June 29, 2024</w:t>
      </w:r>
      <w:r w:rsidR="000F0AFD">
        <w:rPr>
          <w:sz w:val="24"/>
        </w:rPr>
        <w:t xml:space="preserve">, from 11am-4pm </w:t>
      </w:r>
      <w:r w:rsidR="000D5F2A">
        <w:rPr>
          <w:sz w:val="24"/>
        </w:rPr>
        <w:t xml:space="preserve">at </w:t>
      </w:r>
      <w:r w:rsidR="00FE450A">
        <w:rPr>
          <w:sz w:val="24"/>
        </w:rPr>
        <w:t>Meachem</w:t>
      </w:r>
      <w:r w:rsidR="000D5F2A">
        <w:rPr>
          <w:sz w:val="24"/>
        </w:rPr>
        <w:t xml:space="preserve"> </w:t>
      </w:r>
      <w:r w:rsidR="00FE450A">
        <w:rPr>
          <w:sz w:val="24"/>
        </w:rPr>
        <w:t>field</w:t>
      </w:r>
      <w:r w:rsidR="000837BB">
        <w:rPr>
          <w:sz w:val="24"/>
        </w:rPr>
        <w:t xml:space="preserve"> in the valley. She mentioned there will be a DJ, activities, games, and food</w:t>
      </w:r>
      <w:r w:rsidR="003506F4">
        <w:rPr>
          <w:sz w:val="24"/>
        </w:rPr>
        <w:t xml:space="preserve">. She stated that </w:t>
      </w:r>
      <w:r w:rsidR="00255251">
        <w:rPr>
          <w:sz w:val="24"/>
        </w:rPr>
        <w:t>there</w:t>
      </w:r>
      <w:r w:rsidR="003506F4">
        <w:rPr>
          <w:sz w:val="24"/>
        </w:rPr>
        <w:t xml:space="preserve"> will be resource tables from a variety of organizations in the city. She mentioned a past even</w:t>
      </w:r>
      <w:r w:rsidR="00255251">
        <w:rPr>
          <w:sz w:val="24"/>
        </w:rPr>
        <w:t xml:space="preserve">t that the CRB has had and stated that she believed everyone had a good time then. </w:t>
      </w:r>
      <w:r w:rsidR="007179A0">
        <w:rPr>
          <w:sz w:val="24"/>
        </w:rPr>
        <w:t xml:space="preserve">Ranette mentioned that </w:t>
      </w:r>
      <w:r w:rsidR="0031279C">
        <w:rPr>
          <w:sz w:val="24"/>
        </w:rPr>
        <w:t>we have additional community events that are scheduled this month</w:t>
      </w:r>
      <w:r w:rsidR="00B51B63">
        <w:rPr>
          <w:sz w:val="24"/>
        </w:rPr>
        <w:t xml:space="preserve"> such as a community wide literacy kickoff through Syracuse reads on May 4, 2024, </w:t>
      </w:r>
      <w:r w:rsidR="00F2297F">
        <w:rPr>
          <w:sz w:val="24"/>
        </w:rPr>
        <w:t xml:space="preserve">Mental Health Awareness through </w:t>
      </w:r>
      <w:proofErr w:type="spellStart"/>
      <w:r w:rsidR="00043253">
        <w:rPr>
          <w:sz w:val="24"/>
        </w:rPr>
        <w:t>O</w:t>
      </w:r>
      <w:r w:rsidR="00F2297F">
        <w:rPr>
          <w:sz w:val="24"/>
        </w:rPr>
        <w:t>ncare</w:t>
      </w:r>
      <w:proofErr w:type="spellEnd"/>
      <w:r w:rsidR="00F2297F">
        <w:rPr>
          <w:sz w:val="24"/>
        </w:rPr>
        <w:t xml:space="preserve"> at </w:t>
      </w:r>
      <w:r w:rsidR="00FF7949">
        <w:rPr>
          <w:sz w:val="24"/>
        </w:rPr>
        <w:t>Lower Onondaga Park</w:t>
      </w:r>
      <w:r w:rsidR="00514362">
        <w:rPr>
          <w:sz w:val="24"/>
        </w:rPr>
        <w:t xml:space="preserve"> May 11, 2024, Senior fair community outreach through </w:t>
      </w:r>
      <w:r w:rsidR="00043253">
        <w:rPr>
          <w:sz w:val="24"/>
        </w:rPr>
        <w:t>Black Health at 1700 West Onondaga Street, May 23, 2024</w:t>
      </w:r>
      <w:r w:rsidR="00E55EA2">
        <w:rPr>
          <w:sz w:val="24"/>
        </w:rPr>
        <w:t xml:space="preserve">. Ranette advised </w:t>
      </w:r>
      <w:r w:rsidR="007A0263">
        <w:rPr>
          <w:sz w:val="24"/>
        </w:rPr>
        <w:t xml:space="preserve">that </w:t>
      </w:r>
      <w:r w:rsidR="00E55EA2">
        <w:rPr>
          <w:sz w:val="24"/>
        </w:rPr>
        <w:t xml:space="preserve">board members will be emailed related to these events. </w:t>
      </w:r>
      <w:r w:rsidR="007A0263">
        <w:rPr>
          <w:sz w:val="24"/>
        </w:rPr>
        <w:t xml:space="preserve">Ranette mentioned that if any community </w:t>
      </w:r>
      <w:r w:rsidR="003B1141">
        <w:rPr>
          <w:sz w:val="24"/>
        </w:rPr>
        <w:t xml:space="preserve">members wanted to be </w:t>
      </w:r>
      <w:r w:rsidR="004A0014">
        <w:rPr>
          <w:sz w:val="24"/>
        </w:rPr>
        <w:t>part</w:t>
      </w:r>
      <w:r w:rsidR="003B1141">
        <w:rPr>
          <w:sz w:val="24"/>
        </w:rPr>
        <w:t xml:space="preserve"> of the resource tent at the CRB block party to contact our office at 315-448-8750. </w:t>
      </w:r>
      <w:r w:rsidR="004A0014">
        <w:rPr>
          <w:sz w:val="24"/>
        </w:rPr>
        <w:t xml:space="preserve">Lori thanked Anthony </w:t>
      </w:r>
      <w:r w:rsidR="00FF7949">
        <w:rPr>
          <w:sz w:val="24"/>
        </w:rPr>
        <w:t>Heard,</w:t>
      </w:r>
      <w:r w:rsidR="004A0014">
        <w:rPr>
          <w:sz w:val="24"/>
        </w:rPr>
        <w:t xml:space="preserve"> the community engagement specialist </w:t>
      </w:r>
      <w:r w:rsidR="00293377">
        <w:rPr>
          <w:sz w:val="24"/>
        </w:rPr>
        <w:t xml:space="preserve">for putting together the CRB block party. </w:t>
      </w:r>
    </w:p>
    <w:p w14:paraId="4457C81D" w14:textId="77777777" w:rsidR="005718D6" w:rsidRDefault="005718D6" w:rsidP="005718D6">
      <w:pPr>
        <w:rPr>
          <w:sz w:val="24"/>
        </w:rPr>
      </w:pPr>
    </w:p>
    <w:p w14:paraId="311C8346" w14:textId="1F515B23" w:rsidR="001B0868" w:rsidRPr="00293377" w:rsidRDefault="001B0868" w:rsidP="00293377">
      <w:pPr>
        <w:numPr>
          <w:ilvl w:val="0"/>
          <w:numId w:val="8"/>
        </w:numPr>
        <w:ind w:left="1080"/>
        <w:rPr>
          <w:sz w:val="24"/>
        </w:rPr>
      </w:pPr>
      <w:r>
        <w:rPr>
          <w:sz w:val="24"/>
        </w:rPr>
        <w:t>Board Development/Training-</w:t>
      </w:r>
      <w:r w:rsidR="00293377">
        <w:rPr>
          <w:sz w:val="24"/>
        </w:rPr>
        <w:t xml:space="preserve"> Lori stated that the board continues to do NACOLE </w:t>
      </w:r>
      <w:r w:rsidR="00972AFF">
        <w:rPr>
          <w:sz w:val="24"/>
        </w:rPr>
        <w:t>training</w:t>
      </w:r>
      <w:r w:rsidR="00293377">
        <w:rPr>
          <w:sz w:val="24"/>
        </w:rPr>
        <w:t xml:space="preserve"> </w:t>
      </w:r>
      <w:r w:rsidR="00D03C14">
        <w:rPr>
          <w:sz w:val="24"/>
        </w:rPr>
        <w:t xml:space="preserve">and that there is a new one coming up if anyone on the board is interested in attending the training. </w:t>
      </w:r>
      <w:r w:rsidR="006B0257">
        <w:rPr>
          <w:sz w:val="24"/>
        </w:rPr>
        <w:t>She mentioned that the training is about police surveillance and is only one hour long</w:t>
      </w:r>
      <w:r w:rsidR="00972AFF">
        <w:rPr>
          <w:sz w:val="24"/>
        </w:rPr>
        <w:t xml:space="preserve"> online</w:t>
      </w:r>
      <w:r w:rsidR="006B0257">
        <w:rPr>
          <w:sz w:val="24"/>
        </w:rPr>
        <w:t xml:space="preserve">. </w:t>
      </w:r>
      <w:r w:rsidR="00972AFF">
        <w:rPr>
          <w:sz w:val="24"/>
        </w:rPr>
        <w:t xml:space="preserve">She also stated that if a board member </w:t>
      </w:r>
      <w:r w:rsidR="00A01BEE">
        <w:rPr>
          <w:sz w:val="24"/>
        </w:rPr>
        <w:t>cannot</w:t>
      </w:r>
      <w:r w:rsidR="00972AFF">
        <w:rPr>
          <w:sz w:val="24"/>
        </w:rPr>
        <w:t xml:space="preserve"> watch the training live if they register for the </w:t>
      </w:r>
      <w:r w:rsidR="00FF7949">
        <w:rPr>
          <w:sz w:val="24"/>
        </w:rPr>
        <w:t>training,</w:t>
      </w:r>
      <w:r w:rsidR="00972AFF">
        <w:rPr>
          <w:sz w:val="24"/>
        </w:rPr>
        <w:t xml:space="preserve"> they will be able to view it at any time after the live training as it is recorded. </w:t>
      </w:r>
    </w:p>
    <w:p w14:paraId="2DE4DE3C" w14:textId="77777777" w:rsidR="001B0868" w:rsidRPr="001B0868" w:rsidRDefault="001B0868" w:rsidP="001B0868">
      <w:pPr>
        <w:ind w:left="1080"/>
        <w:rPr>
          <w:sz w:val="24"/>
        </w:rPr>
      </w:pPr>
    </w:p>
    <w:p w14:paraId="521B0D72" w14:textId="7BCD7B0B" w:rsidR="005718D6" w:rsidRDefault="001B0868" w:rsidP="000E57A0">
      <w:pPr>
        <w:numPr>
          <w:ilvl w:val="0"/>
          <w:numId w:val="8"/>
        </w:numPr>
        <w:ind w:left="1080"/>
        <w:rPr>
          <w:sz w:val="24"/>
        </w:rPr>
      </w:pPr>
      <w:r>
        <w:rPr>
          <w:sz w:val="24"/>
        </w:rPr>
        <w:t xml:space="preserve">Government Relations – </w:t>
      </w:r>
      <w:r w:rsidR="000E57A0">
        <w:rPr>
          <w:sz w:val="24"/>
        </w:rPr>
        <w:t>Lori stated that the CRB has attended many study sessions and board meetings and Ranette and her have had individual meetings with the mayor’s office and have spoken with the councilors</w:t>
      </w:r>
      <w:r w:rsidR="006D7D9D">
        <w:rPr>
          <w:sz w:val="24"/>
        </w:rPr>
        <w:t xml:space="preserve">. Lori again thanked everyone for attending the CRB public hearing that occurred May 1, 2024. </w:t>
      </w:r>
      <w:r w:rsidR="000E6B0E">
        <w:rPr>
          <w:sz w:val="24"/>
        </w:rPr>
        <w:t>Lori mentioned that we need the community supporting the board and that the Citizen Review Board is the Citizen Review Board and not the common council review board.</w:t>
      </w:r>
      <w:r w:rsidR="00177B75">
        <w:rPr>
          <w:sz w:val="24"/>
        </w:rPr>
        <w:t xml:space="preserve"> Lori stated that the proposed legislation changes do not make the CRB a </w:t>
      </w:r>
      <w:r w:rsidR="00364638">
        <w:rPr>
          <w:sz w:val="24"/>
        </w:rPr>
        <w:t>citizen-controlled</w:t>
      </w:r>
      <w:r w:rsidR="00177B75">
        <w:rPr>
          <w:sz w:val="24"/>
        </w:rPr>
        <w:t xml:space="preserve"> board. </w:t>
      </w:r>
    </w:p>
    <w:p w14:paraId="72DFBF8E" w14:textId="77777777" w:rsidR="001B0868" w:rsidRDefault="001B0868" w:rsidP="005718D6">
      <w:pPr>
        <w:ind w:left="720"/>
        <w:rPr>
          <w:sz w:val="24"/>
        </w:rPr>
      </w:pPr>
    </w:p>
    <w:p w14:paraId="4AB00D49" w14:textId="4EE1E877" w:rsidR="001B0868" w:rsidRDefault="001673F2" w:rsidP="00364638">
      <w:pPr>
        <w:ind w:left="720"/>
        <w:rPr>
          <w:sz w:val="24"/>
        </w:rPr>
      </w:pPr>
      <w:r>
        <w:rPr>
          <w:sz w:val="24"/>
        </w:rPr>
        <w:t>d</w:t>
      </w:r>
      <w:r w:rsidR="001B0868">
        <w:rPr>
          <w:sz w:val="24"/>
        </w:rPr>
        <w:t>. Police Relations-</w:t>
      </w:r>
      <w:r w:rsidR="00364638">
        <w:rPr>
          <w:sz w:val="24"/>
        </w:rPr>
        <w:t xml:space="preserve"> Lori </w:t>
      </w:r>
      <w:r w:rsidR="000F4C6A">
        <w:rPr>
          <w:sz w:val="24"/>
        </w:rPr>
        <w:t>stated that we were supposed to have our monthly meeting with the Police Liaison committee but that it was canceled d</w:t>
      </w:r>
      <w:r w:rsidR="008829E1">
        <w:rPr>
          <w:sz w:val="24"/>
        </w:rPr>
        <w:t xml:space="preserve">ue to the tragic loss of 2 law enforcement officers. </w:t>
      </w:r>
      <w:r w:rsidR="00870C88">
        <w:rPr>
          <w:sz w:val="24"/>
        </w:rPr>
        <w:t xml:space="preserve">She stated that the meeting will be rescheduled. </w:t>
      </w:r>
    </w:p>
    <w:p w14:paraId="5EFA8DFF" w14:textId="77777777" w:rsidR="005718D6" w:rsidRPr="004D36F0" w:rsidRDefault="005718D6" w:rsidP="005718D6">
      <w:pPr>
        <w:jc w:val="both"/>
        <w:rPr>
          <w:sz w:val="24"/>
        </w:rPr>
      </w:pPr>
    </w:p>
    <w:p w14:paraId="50DA2930" w14:textId="77777777" w:rsidR="008206F9" w:rsidRDefault="008206F9" w:rsidP="00FC0B48">
      <w:pPr>
        <w:rPr>
          <w:sz w:val="24"/>
        </w:rPr>
      </w:pPr>
    </w:p>
    <w:p w14:paraId="11003DE5" w14:textId="10D07777" w:rsidR="00FC0B48" w:rsidRPr="00540E63" w:rsidRDefault="00FC0B48" w:rsidP="00FC0B48">
      <w:pPr>
        <w:numPr>
          <w:ilvl w:val="0"/>
          <w:numId w:val="1"/>
        </w:numPr>
        <w:jc w:val="both"/>
        <w:rPr>
          <w:sz w:val="24"/>
        </w:rPr>
      </w:pPr>
      <w:r w:rsidRPr="00540E63">
        <w:rPr>
          <w:sz w:val="24"/>
        </w:rPr>
        <w:t>Public Comment (6:30 pm)</w:t>
      </w:r>
      <w:r w:rsidR="003C658D" w:rsidRPr="00540E63">
        <w:rPr>
          <w:sz w:val="24"/>
        </w:rPr>
        <w:t xml:space="preserve"> – Jackie </w:t>
      </w:r>
      <w:proofErr w:type="spellStart"/>
      <w:r w:rsidR="003C658D" w:rsidRPr="00540E63">
        <w:rPr>
          <w:sz w:val="24"/>
        </w:rPr>
        <w:t>Lasaund</w:t>
      </w:r>
      <w:proofErr w:type="spellEnd"/>
      <w:r w:rsidR="003C658D" w:rsidRPr="00540E63">
        <w:rPr>
          <w:sz w:val="24"/>
        </w:rPr>
        <w:t xml:space="preserve"> got up to </w:t>
      </w:r>
      <w:r w:rsidR="000F093F" w:rsidRPr="00540E63">
        <w:rPr>
          <w:sz w:val="24"/>
        </w:rPr>
        <w:t>speak and</w:t>
      </w:r>
      <w:r w:rsidR="003C658D" w:rsidRPr="00540E63">
        <w:rPr>
          <w:sz w:val="24"/>
        </w:rPr>
        <w:t xml:space="preserve"> </w:t>
      </w:r>
      <w:r w:rsidR="000F093F" w:rsidRPr="00540E63">
        <w:rPr>
          <w:sz w:val="24"/>
        </w:rPr>
        <w:t xml:space="preserve">she said she and a few others in the audience are from the southside. She stated she is interested in finding out about the </w:t>
      </w:r>
      <w:r w:rsidR="00860631" w:rsidRPr="00540E63">
        <w:rPr>
          <w:sz w:val="24"/>
        </w:rPr>
        <w:t>process and</w:t>
      </w:r>
      <w:r w:rsidR="0038515C" w:rsidRPr="00540E63">
        <w:rPr>
          <w:sz w:val="24"/>
        </w:rPr>
        <w:t xml:space="preserve"> asked for more information related to the vacancy in the fourth district. </w:t>
      </w:r>
      <w:r w:rsidR="00870758" w:rsidRPr="00540E63">
        <w:rPr>
          <w:sz w:val="24"/>
        </w:rPr>
        <w:t xml:space="preserve">She asked for the CRB process to be explained. </w:t>
      </w:r>
      <w:r w:rsidR="00F61B64" w:rsidRPr="00540E63">
        <w:rPr>
          <w:sz w:val="24"/>
        </w:rPr>
        <w:t xml:space="preserve"> Lori began to explain the CRB process to the </w:t>
      </w:r>
      <w:r w:rsidR="00860631" w:rsidRPr="00540E63">
        <w:rPr>
          <w:sz w:val="24"/>
        </w:rPr>
        <w:t xml:space="preserve">public and how a case moves through our department from start to finish. </w:t>
      </w:r>
      <w:r w:rsidR="002E4956" w:rsidRPr="00540E63">
        <w:rPr>
          <w:sz w:val="24"/>
        </w:rPr>
        <w:t xml:space="preserve">Ranette explained that officers are civil service workers and there is </w:t>
      </w:r>
      <w:r w:rsidR="00EF5D9A" w:rsidRPr="00540E63">
        <w:rPr>
          <w:sz w:val="24"/>
        </w:rPr>
        <w:t>an</w:t>
      </w:r>
      <w:r w:rsidR="002E4956" w:rsidRPr="00540E63">
        <w:rPr>
          <w:sz w:val="24"/>
        </w:rPr>
        <w:t xml:space="preserve"> 18-month period that </w:t>
      </w:r>
      <w:r w:rsidR="00FF20DC" w:rsidRPr="00540E63">
        <w:rPr>
          <w:sz w:val="24"/>
        </w:rPr>
        <w:t>is provided from the date of incident for which an officer can be disciplined</w:t>
      </w:r>
      <w:r w:rsidR="00EF5D9A" w:rsidRPr="00540E63">
        <w:rPr>
          <w:sz w:val="24"/>
        </w:rPr>
        <w:t>. However</w:t>
      </w:r>
      <w:r w:rsidR="00FF20DC" w:rsidRPr="00540E63">
        <w:rPr>
          <w:sz w:val="24"/>
        </w:rPr>
        <w:t xml:space="preserve">, a case can be sent to the district attorney </w:t>
      </w:r>
      <w:r w:rsidR="00EF5D9A" w:rsidRPr="00540E63">
        <w:rPr>
          <w:sz w:val="24"/>
        </w:rPr>
        <w:t xml:space="preserve">for a further look. </w:t>
      </w:r>
      <w:r w:rsidR="00C26F60" w:rsidRPr="00540E63">
        <w:rPr>
          <w:sz w:val="24"/>
        </w:rPr>
        <w:t xml:space="preserve">Jackie asked </w:t>
      </w:r>
      <w:r w:rsidR="008624DA" w:rsidRPr="00540E63">
        <w:rPr>
          <w:sz w:val="24"/>
        </w:rPr>
        <w:t>about how much of the process is communicated to the complainant and that she feels with the 18-month deadline being so long people may lose faith or the incident may not be as fresh in their memory.</w:t>
      </w:r>
      <w:r w:rsidR="00783CB3" w:rsidRPr="00540E63">
        <w:rPr>
          <w:sz w:val="24"/>
        </w:rPr>
        <w:t xml:space="preserve"> </w:t>
      </w:r>
      <w:r w:rsidR="00540E63">
        <w:rPr>
          <w:sz w:val="24"/>
        </w:rPr>
        <w:t xml:space="preserve">Another member of the public asked why </w:t>
      </w:r>
      <w:r w:rsidR="00666D13">
        <w:rPr>
          <w:sz w:val="24"/>
        </w:rPr>
        <w:t xml:space="preserve">people </w:t>
      </w:r>
      <w:r w:rsidR="001F4DC3">
        <w:rPr>
          <w:sz w:val="24"/>
        </w:rPr>
        <w:t xml:space="preserve">who are </w:t>
      </w:r>
      <w:r w:rsidR="00540E63">
        <w:rPr>
          <w:sz w:val="24"/>
        </w:rPr>
        <w:t xml:space="preserve">arrested criminally have a right to a speedy </w:t>
      </w:r>
      <w:r w:rsidR="00666D13">
        <w:rPr>
          <w:sz w:val="24"/>
        </w:rPr>
        <w:t>trial,</w:t>
      </w:r>
      <w:r w:rsidR="00540E63">
        <w:rPr>
          <w:sz w:val="24"/>
        </w:rPr>
        <w:t xml:space="preserve"> but the CRB does not act in the same manner. </w:t>
      </w:r>
      <w:r w:rsidR="001F4DC3">
        <w:rPr>
          <w:sz w:val="24"/>
        </w:rPr>
        <w:t xml:space="preserve">Joesph Favata </w:t>
      </w:r>
      <w:r w:rsidR="00666D13">
        <w:rPr>
          <w:sz w:val="24"/>
        </w:rPr>
        <w:t xml:space="preserve">a board member who </w:t>
      </w:r>
      <w:r w:rsidR="00E36423">
        <w:rPr>
          <w:sz w:val="24"/>
        </w:rPr>
        <w:t>was</w:t>
      </w:r>
      <w:r w:rsidR="00666D13">
        <w:rPr>
          <w:sz w:val="24"/>
        </w:rPr>
        <w:t xml:space="preserve"> an attorney provided </w:t>
      </w:r>
      <w:r w:rsidR="0097376A">
        <w:rPr>
          <w:sz w:val="24"/>
        </w:rPr>
        <w:t xml:space="preserve">a breakdown on the difference between the right to a speedy trial and the CRB process. </w:t>
      </w:r>
      <w:r w:rsidR="00CB35E4">
        <w:rPr>
          <w:sz w:val="24"/>
        </w:rPr>
        <w:t xml:space="preserve">The community member asked how the </w:t>
      </w:r>
      <w:proofErr w:type="gramStart"/>
      <w:r w:rsidR="00CB35E4">
        <w:rPr>
          <w:sz w:val="24"/>
        </w:rPr>
        <w:t>CRB</w:t>
      </w:r>
      <w:proofErr w:type="gramEnd"/>
      <w:r w:rsidR="00CB35E4">
        <w:rPr>
          <w:sz w:val="24"/>
        </w:rPr>
        <w:t xml:space="preserve"> and the police department can come to a resolution to move cases along faster. Ranette advised the police department is aware of the 18-month </w:t>
      </w:r>
      <w:r w:rsidR="00752373">
        <w:rPr>
          <w:sz w:val="24"/>
        </w:rPr>
        <w:t>deadline,</w:t>
      </w:r>
      <w:r w:rsidR="00CB35E4">
        <w:rPr>
          <w:sz w:val="24"/>
        </w:rPr>
        <w:t xml:space="preserve"> </w:t>
      </w:r>
      <w:r w:rsidR="00B108EA">
        <w:rPr>
          <w:sz w:val="24"/>
        </w:rPr>
        <w:t xml:space="preserve">but their investigation can take 8-months or 6-months but when we finally receive the information needed from </w:t>
      </w:r>
      <w:r w:rsidR="006C027A">
        <w:rPr>
          <w:sz w:val="24"/>
        </w:rPr>
        <w:t xml:space="preserve">SPD to begin our investigation the CRB is expected to investigate the case in less time than it took SPD. </w:t>
      </w:r>
      <w:r w:rsidR="00BE1B8A">
        <w:rPr>
          <w:sz w:val="24"/>
        </w:rPr>
        <w:t xml:space="preserve">There </w:t>
      </w:r>
      <w:r w:rsidR="00783C25">
        <w:rPr>
          <w:sz w:val="24"/>
        </w:rPr>
        <w:t>were</w:t>
      </w:r>
      <w:r w:rsidR="00BE1B8A">
        <w:rPr>
          <w:sz w:val="24"/>
        </w:rPr>
        <w:t xml:space="preserve"> a few more public comments made by the community </w:t>
      </w:r>
      <w:r w:rsidR="00783C25">
        <w:rPr>
          <w:sz w:val="24"/>
        </w:rPr>
        <w:t>members,</w:t>
      </w:r>
      <w:r w:rsidR="00BE1B8A">
        <w:rPr>
          <w:sz w:val="24"/>
        </w:rPr>
        <w:t xml:space="preserve"> however, it is </w:t>
      </w:r>
      <w:r w:rsidR="00752373">
        <w:rPr>
          <w:sz w:val="24"/>
        </w:rPr>
        <w:t xml:space="preserve">inaudible as they did not speak at the podium with the microphone. </w:t>
      </w:r>
    </w:p>
    <w:p w14:paraId="5153322A" w14:textId="77777777" w:rsidR="00FC0B48" w:rsidRPr="00B86921" w:rsidRDefault="00FC0B48" w:rsidP="00FC0B48">
      <w:pPr>
        <w:rPr>
          <w:sz w:val="24"/>
        </w:rPr>
      </w:pPr>
    </w:p>
    <w:p w14:paraId="5AF07893" w14:textId="77777777" w:rsidR="00FC0B48" w:rsidRDefault="00FC0B48" w:rsidP="004D36F0">
      <w:pPr>
        <w:rPr>
          <w:sz w:val="24"/>
        </w:rPr>
      </w:pPr>
    </w:p>
    <w:p w14:paraId="564E842E" w14:textId="34239936" w:rsidR="004D36F0" w:rsidRPr="004D36F0" w:rsidRDefault="008817E6" w:rsidP="004D36F0">
      <w:pPr>
        <w:jc w:val="both"/>
        <w:rPr>
          <w:sz w:val="24"/>
        </w:rPr>
      </w:pPr>
      <w:r>
        <w:rPr>
          <w:sz w:val="24"/>
        </w:rPr>
        <w:t xml:space="preserve">Without a quorum to make and adopt a motion, </w:t>
      </w:r>
      <w:r w:rsidR="00783C25">
        <w:rPr>
          <w:sz w:val="24"/>
        </w:rPr>
        <w:t>the board ended its meeting.</w:t>
      </w:r>
    </w:p>
    <w:p w14:paraId="1D31BE51" w14:textId="77777777" w:rsidR="004D36F0" w:rsidRDefault="004D36F0" w:rsidP="004D36F0">
      <w:pPr>
        <w:rPr>
          <w:sz w:val="24"/>
        </w:rPr>
      </w:pPr>
    </w:p>
    <w:p w14:paraId="185EE898" w14:textId="77777777" w:rsidR="004D36F0" w:rsidRDefault="004D36F0" w:rsidP="004D36F0">
      <w:pPr>
        <w:rPr>
          <w:sz w:val="24"/>
        </w:rPr>
      </w:pPr>
      <w:r w:rsidRPr="004D36F0">
        <w:rPr>
          <w:sz w:val="24"/>
        </w:rPr>
        <w:t>Respectfully submitted</w:t>
      </w:r>
      <w:r>
        <w:rPr>
          <w:sz w:val="24"/>
        </w:rPr>
        <w:t>,</w:t>
      </w:r>
    </w:p>
    <w:p w14:paraId="07A81031" w14:textId="77777777" w:rsidR="004D36F0" w:rsidRDefault="004D36F0" w:rsidP="004D36F0">
      <w:pPr>
        <w:rPr>
          <w:sz w:val="24"/>
        </w:rPr>
      </w:pPr>
    </w:p>
    <w:p w14:paraId="5581E3BE" w14:textId="77777777" w:rsidR="004D36F0" w:rsidRDefault="004D36F0" w:rsidP="004D36F0">
      <w:pPr>
        <w:rPr>
          <w:sz w:val="24"/>
        </w:rPr>
      </w:pPr>
    </w:p>
    <w:p w14:paraId="730AD5D9" w14:textId="6D7750EE" w:rsidR="004D36F0" w:rsidRPr="004D36F0" w:rsidRDefault="00B177E5" w:rsidP="004D36F0">
      <w:pPr>
        <w:rPr>
          <w:bCs/>
          <w:sz w:val="24"/>
        </w:rPr>
      </w:pPr>
      <w:r>
        <w:rPr>
          <w:bCs/>
          <w:sz w:val="24"/>
        </w:rPr>
        <w:t>Tiahjanay Griswold, Legal Secretary I</w:t>
      </w:r>
    </w:p>
    <w:p w14:paraId="01BAE045" w14:textId="77777777" w:rsidR="004D36F0" w:rsidRDefault="004D36F0" w:rsidP="004D36F0">
      <w:pPr>
        <w:rPr>
          <w:sz w:val="24"/>
        </w:rPr>
      </w:pPr>
      <w:r w:rsidRPr="004D36F0">
        <w:rPr>
          <w:sz w:val="24"/>
        </w:rPr>
        <w:t xml:space="preserve"> Citizen Review Board</w:t>
      </w:r>
    </w:p>
    <w:p w14:paraId="793A630C" w14:textId="77777777" w:rsidR="004D36F0" w:rsidRDefault="004D36F0" w:rsidP="004D36F0">
      <w:pPr>
        <w:rPr>
          <w:sz w:val="24"/>
        </w:rPr>
      </w:pPr>
      <w:r>
        <w:rPr>
          <w:sz w:val="24"/>
        </w:rPr>
        <w:br w:type="page"/>
      </w:r>
      <w:r w:rsidRPr="004D36F0">
        <w:rPr>
          <w:sz w:val="24"/>
        </w:rPr>
        <w:t>Public Comment</w:t>
      </w:r>
      <w:r w:rsidR="000569C1">
        <w:rPr>
          <w:sz w:val="24"/>
        </w:rPr>
        <w:t>/</w:t>
      </w:r>
      <w:r w:rsidRPr="004D36F0">
        <w:rPr>
          <w:sz w:val="24"/>
        </w:rPr>
        <w:t>Notes</w:t>
      </w:r>
      <w:r w:rsidR="007C5242">
        <w:rPr>
          <w:sz w:val="24"/>
        </w:rPr>
        <w:t>:</w:t>
      </w:r>
    </w:p>
    <w:p w14:paraId="4FF6B51A" w14:textId="77777777" w:rsidR="005B5B9E" w:rsidRDefault="005B5B9E" w:rsidP="004D36F0">
      <w:pPr>
        <w:rPr>
          <w:sz w:val="24"/>
        </w:rPr>
      </w:pPr>
    </w:p>
    <w:p w14:paraId="468E8D06" w14:textId="77777777" w:rsidR="005B5B9E" w:rsidRDefault="005B5B9E" w:rsidP="002213DA">
      <w:pPr>
        <w:tabs>
          <w:tab w:val="left" w:pos="2880"/>
          <w:tab w:val="right" w:leader="underscore" w:pos="9360"/>
        </w:tabs>
        <w:rPr>
          <w:sz w:val="24"/>
        </w:rPr>
      </w:pPr>
      <w:r w:rsidRPr="00AC6772">
        <w:rPr>
          <w:sz w:val="24"/>
        </w:rPr>
        <w:t xml:space="preserve">Case Number:  </w:t>
      </w:r>
      <w:r>
        <w:rPr>
          <w:sz w:val="24"/>
        </w:rPr>
        <w:tab/>
        <w:t xml:space="preserve">Yes </w:t>
      </w:r>
      <w:r w:rsidR="001B0868">
        <w:rPr>
          <w:sz w:val="24"/>
        </w:rPr>
        <w:t xml:space="preserve">               </w:t>
      </w:r>
      <w:r>
        <w:rPr>
          <w:sz w:val="24"/>
        </w:rPr>
        <w:t xml:space="preserve">No </w:t>
      </w:r>
      <w:r w:rsidR="001B0868">
        <w:rPr>
          <w:sz w:val="24"/>
        </w:rPr>
        <w:t xml:space="preserve">                      Hearing          No Hearing </w:t>
      </w:r>
    </w:p>
    <w:p w14:paraId="65C4EC34" w14:textId="77777777" w:rsidR="005B5B9E" w:rsidRDefault="005B5B9E" w:rsidP="002213DA">
      <w:pPr>
        <w:tabs>
          <w:tab w:val="left" w:pos="2880"/>
          <w:tab w:val="right" w:leader="underscore" w:pos="9360"/>
        </w:tabs>
        <w:rPr>
          <w:sz w:val="24"/>
        </w:rPr>
      </w:pPr>
      <w:r w:rsidRPr="00AC6772">
        <w:rPr>
          <w:sz w:val="24"/>
        </w:rPr>
        <w:t xml:space="preserve">Case Number:  </w:t>
      </w:r>
      <w:r>
        <w:rPr>
          <w:sz w:val="24"/>
        </w:rPr>
        <w:tab/>
        <w:t xml:space="preserve">Yes </w:t>
      </w:r>
      <w:r w:rsidR="001B0868">
        <w:rPr>
          <w:sz w:val="24"/>
        </w:rPr>
        <w:t xml:space="preserve">              </w:t>
      </w:r>
      <w:r>
        <w:rPr>
          <w:sz w:val="24"/>
        </w:rPr>
        <w:t xml:space="preserve"> No </w:t>
      </w:r>
      <w:r w:rsidR="001B0868">
        <w:rPr>
          <w:sz w:val="24"/>
        </w:rPr>
        <w:t xml:space="preserve">                      Hearing         No Hearing</w:t>
      </w:r>
    </w:p>
    <w:p w14:paraId="4EA67C9A" w14:textId="77777777" w:rsidR="005B5B9E" w:rsidRDefault="005B5B9E" w:rsidP="002213DA">
      <w:pPr>
        <w:tabs>
          <w:tab w:val="left" w:pos="2880"/>
          <w:tab w:val="right" w:leader="underscore" w:pos="9360"/>
        </w:tabs>
        <w:rPr>
          <w:sz w:val="24"/>
        </w:rPr>
      </w:pPr>
      <w:r w:rsidRPr="00AC6772">
        <w:rPr>
          <w:sz w:val="24"/>
        </w:rPr>
        <w:t xml:space="preserve">Case Number:  </w:t>
      </w:r>
      <w:r>
        <w:rPr>
          <w:sz w:val="24"/>
        </w:rPr>
        <w:tab/>
        <w:t xml:space="preserve">Yes </w:t>
      </w:r>
      <w:r w:rsidR="001B0868">
        <w:rPr>
          <w:sz w:val="24"/>
        </w:rPr>
        <w:t xml:space="preserve">               No                       Hearing         No Hearing </w:t>
      </w:r>
    </w:p>
    <w:sectPr w:rsidR="005B5B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FFA9" w14:textId="77777777" w:rsidR="001B333D" w:rsidRDefault="001B333D" w:rsidP="001B333D">
      <w:r>
        <w:separator/>
      </w:r>
    </w:p>
  </w:endnote>
  <w:endnote w:type="continuationSeparator" w:id="0">
    <w:p w14:paraId="4EEC366E" w14:textId="77777777" w:rsidR="001B333D" w:rsidRDefault="001B333D" w:rsidP="001B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FC73" w14:textId="77777777" w:rsidR="001B333D" w:rsidRDefault="001B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5683" w14:textId="77777777" w:rsidR="001B333D" w:rsidRDefault="001B3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2996" w14:textId="77777777" w:rsidR="001B333D" w:rsidRDefault="001B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A21CA" w14:textId="77777777" w:rsidR="001B333D" w:rsidRDefault="001B333D" w:rsidP="001B333D">
      <w:r>
        <w:separator/>
      </w:r>
    </w:p>
  </w:footnote>
  <w:footnote w:type="continuationSeparator" w:id="0">
    <w:p w14:paraId="0158A294" w14:textId="77777777" w:rsidR="001B333D" w:rsidRDefault="001B333D" w:rsidP="001B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C19F" w14:textId="77777777" w:rsidR="001B333D" w:rsidRDefault="001B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975835"/>
      <w:docPartObj>
        <w:docPartGallery w:val="Watermarks"/>
        <w:docPartUnique/>
      </w:docPartObj>
    </w:sdtPr>
    <w:sdtContent>
      <w:p w14:paraId="6116BF02" w14:textId="53465EAA" w:rsidR="001B333D" w:rsidRDefault="001B333D">
        <w:pPr>
          <w:pStyle w:val="Header"/>
        </w:pPr>
        <w:r>
          <w:rPr>
            <w:noProof/>
          </w:rPr>
          <w:pict w14:anchorId="5CFE4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F84C2" w14:textId="77777777" w:rsidR="001B333D" w:rsidRDefault="001B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6AFE"/>
    <w:multiLevelType w:val="hybridMultilevel"/>
    <w:tmpl w:val="0A3E582A"/>
    <w:lvl w:ilvl="0" w:tplc="D03C38CA">
      <w:start w:val="1"/>
      <w:numFmt w:val="decimal"/>
      <w:lvlText w:val="%1."/>
      <w:lvlJc w:val="left"/>
      <w:pPr>
        <w:ind w:left="720" w:hanging="360"/>
      </w:pPr>
      <w:rPr>
        <w:rFonts w:hint="default"/>
      </w:rPr>
    </w:lvl>
    <w:lvl w:ilvl="1" w:tplc="83C0DFEC">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9729D5"/>
    <w:multiLevelType w:val="hybridMultilevel"/>
    <w:tmpl w:val="5124468A"/>
    <w:lvl w:ilvl="0" w:tplc="D03C38CA">
      <w:start w:val="1"/>
      <w:numFmt w:val="decimal"/>
      <w:lvlText w:val="%1."/>
      <w:lvlJc w:val="left"/>
      <w:pPr>
        <w:ind w:left="720" w:hanging="360"/>
      </w:pPr>
      <w:rPr>
        <w:rFonts w:hint="default"/>
      </w:rPr>
    </w:lvl>
    <w:lvl w:ilvl="1" w:tplc="F5660E6A">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031777"/>
    <w:multiLevelType w:val="hybridMultilevel"/>
    <w:tmpl w:val="E53CDC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E3055"/>
    <w:multiLevelType w:val="hybridMultilevel"/>
    <w:tmpl w:val="3F32D652"/>
    <w:lvl w:ilvl="0" w:tplc="E79A82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5E2331C"/>
    <w:multiLevelType w:val="hybridMultilevel"/>
    <w:tmpl w:val="A3300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D5498"/>
    <w:multiLevelType w:val="hybridMultilevel"/>
    <w:tmpl w:val="17D0F4F0"/>
    <w:lvl w:ilvl="0" w:tplc="D186B1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6140503"/>
    <w:multiLevelType w:val="hybridMultilevel"/>
    <w:tmpl w:val="E7729DF4"/>
    <w:lvl w:ilvl="0" w:tplc="0928AB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76B3A5B"/>
    <w:multiLevelType w:val="hybridMultilevel"/>
    <w:tmpl w:val="D28CBF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849710">
    <w:abstractNumId w:val="4"/>
  </w:num>
  <w:num w:numId="2" w16cid:durableId="575406723">
    <w:abstractNumId w:val="3"/>
  </w:num>
  <w:num w:numId="3" w16cid:durableId="1967159394">
    <w:abstractNumId w:val="1"/>
  </w:num>
  <w:num w:numId="4" w16cid:durableId="322858615">
    <w:abstractNumId w:val="0"/>
  </w:num>
  <w:num w:numId="5" w16cid:durableId="1691177609">
    <w:abstractNumId w:val="6"/>
  </w:num>
  <w:num w:numId="6" w16cid:durableId="1994986372">
    <w:abstractNumId w:val="5"/>
  </w:num>
  <w:num w:numId="7" w16cid:durableId="182550229">
    <w:abstractNumId w:val="7"/>
  </w:num>
  <w:num w:numId="8" w16cid:durableId="34186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F0"/>
    <w:rsid w:val="000244F2"/>
    <w:rsid w:val="00043253"/>
    <w:rsid w:val="00050364"/>
    <w:rsid w:val="000569C1"/>
    <w:rsid w:val="000837BB"/>
    <w:rsid w:val="00085EA1"/>
    <w:rsid w:val="000D5F2A"/>
    <w:rsid w:val="000E1650"/>
    <w:rsid w:val="000E57A0"/>
    <w:rsid w:val="000E6B0E"/>
    <w:rsid w:val="000F093F"/>
    <w:rsid w:val="000F0AFD"/>
    <w:rsid w:val="000F4C6A"/>
    <w:rsid w:val="00123A2B"/>
    <w:rsid w:val="00126D17"/>
    <w:rsid w:val="001673F2"/>
    <w:rsid w:val="00177B75"/>
    <w:rsid w:val="001B0868"/>
    <w:rsid w:val="001B333D"/>
    <w:rsid w:val="001E510E"/>
    <w:rsid w:val="001F4DC3"/>
    <w:rsid w:val="00201C34"/>
    <w:rsid w:val="002213DA"/>
    <w:rsid w:val="00254333"/>
    <w:rsid w:val="00255095"/>
    <w:rsid w:val="00255251"/>
    <w:rsid w:val="00255F0A"/>
    <w:rsid w:val="00293377"/>
    <w:rsid w:val="002E4956"/>
    <w:rsid w:val="0031279C"/>
    <w:rsid w:val="00315E96"/>
    <w:rsid w:val="00317EBF"/>
    <w:rsid w:val="003201A8"/>
    <w:rsid w:val="0035013E"/>
    <w:rsid w:val="003506F4"/>
    <w:rsid w:val="00354B7D"/>
    <w:rsid w:val="00364638"/>
    <w:rsid w:val="00380822"/>
    <w:rsid w:val="0038515C"/>
    <w:rsid w:val="00385990"/>
    <w:rsid w:val="003B1141"/>
    <w:rsid w:val="003C658D"/>
    <w:rsid w:val="003D1625"/>
    <w:rsid w:val="00476FE3"/>
    <w:rsid w:val="004A0014"/>
    <w:rsid w:val="004A143B"/>
    <w:rsid w:val="004B0C06"/>
    <w:rsid w:val="004D36F0"/>
    <w:rsid w:val="004E62F6"/>
    <w:rsid w:val="00514362"/>
    <w:rsid w:val="0053682F"/>
    <w:rsid w:val="00540E63"/>
    <w:rsid w:val="00542733"/>
    <w:rsid w:val="00552400"/>
    <w:rsid w:val="00563180"/>
    <w:rsid w:val="005718D6"/>
    <w:rsid w:val="00577C08"/>
    <w:rsid w:val="0059068C"/>
    <w:rsid w:val="005B037F"/>
    <w:rsid w:val="005B5B9E"/>
    <w:rsid w:val="005B7A45"/>
    <w:rsid w:val="005F04B6"/>
    <w:rsid w:val="00607AA2"/>
    <w:rsid w:val="006271A1"/>
    <w:rsid w:val="00666D13"/>
    <w:rsid w:val="00670171"/>
    <w:rsid w:val="00690961"/>
    <w:rsid w:val="006A1CDC"/>
    <w:rsid w:val="006B0257"/>
    <w:rsid w:val="006B1FA1"/>
    <w:rsid w:val="006B7ED5"/>
    <w:rsid w:val="006C027A"/>
    <w:rsid w:val="006C5899"/>
    <w:rsid w:val="006D00CF"/>
    <w:rsid w:val="006D7AF5"/>
    <w:rsid w:val="006D7D9D"/>
    <w:rsid w:val="006F012C"/>
    <w:rsid w:val="006F4F03"/>
    <w:rsid w:val="007179A0"/>
    <w:rsid w:val="00727805"/>
    <w:rsid w:val="0074662C"/>
    <w:rsid w:val="00752373"/>
    <w:rsid w:val="00783C25"/>
    <w:rsid w:val="00783CB3"/>
    <w:rsid w:val="007A0263"/>
    <w:rsid w:val="007C2C18"/>
    <w:rsid w:val="007C5242"/>
    <w:rsid w:val="007E6671"/>
    <w:rsid w:val="008206F9"/>
    <w:rsid w:val="00841E41"/>
    <w:rsid w:val="00860631"/>
    <w:rsid w:val="00861F3D"/>
    <w:rsid w:val="008624DA"/>
    <w:rsid w:val="00866F23"/>
    <w:rsid w:val="00870758"/>
    <w:rsid w:val="00870C88"/>
    <w:rsid w:val="008761C7"/>
    <w:rsid w:val="00880254"/>
    <w:rsid w:val="008817E6"/>
    <w:rsid w:val="008829E1"/>
    <w:rsid w:val="00885D6E"/>
    <w:rsid w:val="00892AB3"/>
    <w:rsid w:val="008C0F1C"/>
    <w:rsid w:val="00903A21"/>
    <w:rsid w:val="00954F80"/>
    <w:rsid w:val="00955974"/>
    <w:rsid w:val="00960E2C"/>
    <w:rsid w:val="00960E54"/>
    <w:rsid w:val="00961CFD"/>
    <w:rsid w:val="00967B10"/>
    <w:rsid w:val="00972AFF"/>
    <w:rsid w:val="0097376A"/>
    <w:rsid w:val="00987268"/>
    <w:rsid w:val="0099650B"/>
    <w:rsid w:val="009B470C"/>
    <w:rsid w:val="009C48D5"/>
    <w:rsid w:val="009E548E"/>
    <w:rsid w:val="009F02BD"/>
    <w:rsid w:val="00A01BEE"/>
    <w:rsid w:val="00A061F6"/>
    <w:rsid w:val="00A17723"/>
    <w:rsid w:val="00A27203"/>
    <w:rsid w:val="00A430EF"/>
    <w:rsid w:val="00AD57F8"/>
    <w:rsid w:val="00AF36BD"/>
    <w:rsid w:val="00B108EA"/>
    <w:rsid w:val="00B177E5"/>
    <w:rsid w:val="00B5170E"/>
    <w:rsid w:val="00B51B63"/>
    <w:rsid w:val="00B549E5"/>
    <w:rsid w:val="00B86ECB"/>
    <w:rsid w:val="00B969DD"/>
    <w:rsid w:val="00BA6C8A"/>
    <w:rsid w:val="00BD611E"/>
    <w:rsid w:val="00BE1B8A"/>
    <w:rsid w:val="00C26F60"/>
    <w:rsid w:val="00C55325"/>
    <w:rsid w:val="00CA50F7"/>
    <w:rsid w:val="00CB35E4"/>
    <w:rsid w:val="00CE2E57"/>
    <w:rsid w:val="00CF7246"/>
    <w:rsid w:val="00CF7B10"/>
    <w:rsid w:val="00D03C14"/>
    <w:rsid w:val="00D14C7A"/>
    <w:rsid w:val="00D44F24"/>
    <w:rsid w:val="00D74C46"/>
    <w:rsid w:val="00D75B46"/>
    <w:rsid w:val="00E04634"/>
    <w:rsid w:val="00E14604"/>
    <w:rsid w:val="00E36423"/>
    <w:rsid w:val="00E43FCC"/>
    <w:rsid w:val="00E55EA2"/>
    <w:rsid w:val="00E761AC"/>
    <w:rsid w:val="00E82B99"/>
    <w:rsid w:val="00E94460"/>
    <w:rsid w:val="00EA1DEE"/>
    <w:rsid w:val="00EA3FCE"/>
    <w:rsid w:val="00EB2558"/>
    <w:rsid w:val="00EF21E4"/>
    <w:rsid w:val="00EF438E"/>
    <w:rsid w:val="00EF5D9A"/>
    <w:rsid w:val="00F2297F"/>
    <w:rsid w:val="00F232B6"/>
    <w:rsid w:val="00F24278"/>
    <w:rsid w:val="00F43F30"/>
    <w:rsid w:val="00F61B64"/>
    <w:rsid w:val="00F63D27"/>
    <w:rsid w:val="00F744CF"/>
    <w:rsid w:val="00FA4B14"/>
    <w:rsid w:val="00FC0B48"/>
    <w:rsid w:val="00FD2A58"/>
    <w:rsid w:val="00FE450A"/>
    <w:rsid w:val="00FF20DC"/>
    <w:rsid w:val="00FF3DCA"/>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76E05"/>
  <w15:docId w15:val="{367B5D2C-BEBA-4229-9AC5-5E0D8AD8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Calibri" w:hAnsi="Candar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8D6"/>
    <w:pPr>
      <w:ind w:left="720"/>
    </w:pPr>
  </w:style>
  <w:style w:type="paragraph" w:styleId="Header">
    <w:name w:val="header"/>
    <w:basedOn w:val="Normal"/>
    <w:link w:val="HeaderChar"/>
    <w:uiPriority w:val="99"/>
    <w:unhideWhenUsed/>
    <w:rsid w:val="001B333D"/>
    <w:pPr>
      <w:tabs>
        <w:tab w:val="center" w:pos="4680"/>
        <w:tab w:val="right" w:pos="9360"/>
      </w:tabs>
    </w:pPr>
  </w:style>
  <w:style w:type="character" w:customStyle="1" w:styleId="HeaderChar">
    <w:name w:val="Header Char"/>
    <w:basedOn w:val="DefaultParagraphFont"/>
    <w:link w:val="Header"/>
    <w:uiPriority w:val="99"/>
    <w:rsid w:val="001B333D"/>
  </w:style>
  <w:style w:type="paragraph" w:styleId="Footer">
    <w:name w:val="footer"/>
    <w:basedOn w:val="Normal"/>
    <w:link w:val="FooterChar"/>
    <w:uiPriority w:val="99"/>
    <w:unhideWhenUsed/>
    <w:rsid w:val="001B333D"/>
    <w:pPr>
      <w:tabs>
        <w:tab w:val="center" w:pos="4680"/>
        <w:tab w:val="right" w:pos="9360"/>
      </w:tabs>
    </w:pPr>
  </w:style>
  <w:style w:type="character" w:customStyle="1" w:styleId="FooterChar">
    <w:name w:val="Footer Char"/>
    <w:basedOn w:val="DefaultParagraphFont"/>
    <w:link w:val="Footer"/>
    <w:uiPriority w:val="99"/>
    <w:rsid w:val="001B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3559581BC4A47BD29CB172FDB8215" ma:contentTypeVersion="15" ma:contentTypeDescription="Create a new document." ma:contentTypeScope="" ma:versionID="206b7f00b2aedf9003689623f4c402ce">
  <xsd:schema xmlns:xsd="http://www.w3.org/2001/XMLSchema" xmlns:xs="http://www.w3.org/2001/XMLSchema" xmlns:p="http://schemas.microsoft.com/office/2006/metadata/properties" xmlns:ns2="13bdd293-3371-4973-9773-e8c254aef7d6" xmlns:ns3="949a40e4-d674-4368-9a1f-1563fec138f5" targetNamespace="http://schemas.microsoft.com/office/2006/metadata/properties" ma:root="true" ma:fieldsID="889202403416af0fc90c5d57c7c99d73" ns2:_="" ns3:_="">
    <xsd:import namespace="13bdd293-3371-4973-9773-e8c254aef7d6"/>
    <xsd:import namespace="949a40e4-d674-4368-9a1f-1563fec138f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dd293-3371-4973-9773-e8c254aef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52add7-5887-4f90-affc-90feb7f3e7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a40e4-d674-4368-9a1f-1563fec138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e80af0-c1bb-45d3-bae7-eca08058888c}" ma:internalName="TaxCatchAll" ma:showField="CatchAllData" ma:web="949a40e4-d674-4368-9a1f-1563fec138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EDFA-B3F5-4315-9F69-37740503DEE5}">
  <ds:schemaRefs>
    <ds:schemaRef ds:uri="http://schemas.microsoft.com/sharepoint/v3/contenttype/forms"/>
  </ds:schemaRefs>
</ds:datastoreItem>
</file>

<file path=customXml/itemProps2.xml><?xml version="1.0" encoding="utf-8"?>
<ds:datastoreItem xmlns:ds="http://schemas.openxmlformats.org/officeDocument/2006/customXml" ds:itemID="{8C9290DA-031B-498B-9095-C7FC54BC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dd293-3371-4973-9773-e8c254aef7d6"/>
    <ds:schemaRef ds:uri="949a40e4-d674-4368-9a1f-1563fec13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880C0-CA36-4956-A322-C9E4F8FC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Syracuse</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Betty</dc:creator>
  <cp:lastModifiedBy>Griswold, Tiahjanay</cp:lastModifiedBy>
  <cp:revision>4</cp:revision>
  <cp:lastPrinted>2015-05-07T19:26:00Z</cp:lastPrinted>
  <dcterms:created xsi:type="dcterms:W3CDTF">2024-05-29T13:24:00Z</dcterms:created>
  <dcterms:modified xsi:type="dcterms:W3CDTF">2024-06-05T14:59:00Z</dcterms:modified>
</cp:coreProperties>
</file>